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黑体" w:eastAsia="黑体"/>
          <w:b/>
          <w:bCs/>
          <w:sz w:val="32"/>
        </w:rPr>
      </w:pPr>
      <w:r>
        <w:rPr>
          <w:rFonts w:hint="eastAsia" w:ascii="黑体" w:eastAsia="黑体"/>
          <w:b/>
          <w:bCs/>
          <w:sz w:val="32"/>
        </w:rPr>
        <w:t>《</w:t>
      </w:r>
      <w:r>
        <w:rPr>
          <w:rFonts w:hint="eastAsia" w:ascii="黑体" w:eastAsia="黑体"/>
          <w:b/>
          <w:bCs/>
          <w:sz w:val="32"/>
          <w:lang w:eastAsia="zh-CN"/>
        </w:rPr>
        <w:t>食品冷库能效设施评估指标</w:t>
      </w:r>
      <w:r>
        <w:rPr>
          <w:rFonts w:hint="eastAsia" w:ascii="黑体" w:eastAsia="黑体"/>
          <w:b/>
          <w:bCs/>
          <w:sz w:val="32"/>
        </w:rPr>
        <w:t>》</w:t>
      </w:r>
      <w:r>
        <w:rPr>
          <w:rFonts w:hint="eastAsia" w:ascii="黑体" w:eastAsia="黑体"/>
          <w:b/>
          <w:bCs/>
          <w:sz w:val="32"/>
          <w:lang w:val="en-US" w:eastAsia="zh-CN"/>
        </w:rPr>
        <w:t>行业标准（</w:t>
      </w:r>
      <w:bookmarkStart w:id="1" w:name="_GoBack"/>
      <w:bookmarkEnd w:id="1"/>
      <w:r>
        <w:rPr>
          <w:rFonts w:hint="eastAsia" w:ascii="黑体" w:eastAsia="黑体"/>
          <w:b/>
          <w:bCs/>
          <w:sz w:val="32"/>
          <w:lang w:val="en-US" w:eastAsia="zh-CN"/>
        </w:rPr>
        <w:t>征求意见稿）</w:t>
      </w:r>
    </w:p>
    <w:p>
      <w:pPr>
        <w:spacing w:line="360" w:lineRule="auto"/>
        <w:jc w:val="center"/>
        <w:rPr>
          <w:rFonts w:ascii="黑体" w:eastAsia="黑体"/>
          <w:b/>
          <w:bCs/>
          <w:sz w:val="32"/>
        </w:rPr>
      </w:pPr>
      <w:r>
        <w:rPr>
          <w:rFonts w:hint="eastAsia" w:ascii="黑体" w:eastAsia="黑体"/>
          <w:b/>
          <w:bCs/>
          <w:sz w:val="32"/>
        </w:rPr>
        <w:t>编制说明</w:t>
      </w:r>
    </w:p>
    <w:p>
      <w:pPr>
        <w:pStyle w:val="27"/>
        <w:spacing w:line="360" w:lineRule="auto"/>
        <w:ind w:firstLine="0" w:firstLineChars="0"/>
        <w:rPr>
          <w:rFonts w:ascii="仿宋_GB2312" w:eastAsia="仿宋_GB2312"/>
          <w:b/>
          <w:sz w:val="24"/>
          <w:szCs w:val="24"/>
        </w:rPr>
      </w:pPr>
      <w:r>
        <w:rPr>
          <w:rFonts w:hint="eastAsia" w:ascii="仿宋_GB2312" w:eastAsia="仿宋_GB2312"/>
          <w:b/>
          <w:sz w:val="24"/>
          <w:szCs w:val="24"/>
        </w:rPr>
        <w:t>一、项目来源</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国家发展改革委办公厅下发《2017年推荐性物流行业标准项目计划》（发改办经贸[2017]950号），由中国物流与采购联合会冷链物流专业委员会牵头组织，由中机十院国际工程有限公司作为主起草单位的《</w:t>
      </w:r>
      <w:r>
        <w:rPr>
          <w:rFonts w:hint="eastAsia" w:ascii="仿宋_GB2312" w:eastAsia="仿宋_GB2312"/>
          <w:sz w:val="24"/>
          <w:szCs w:val="24"/>
          <w:lang w:eastAsia="zh-CN"/>
        </w:rPr>
        <w:t>食品冷库能效设施评估指标</w:t>
      </w:r>
      <w:r>
        <w:rPr>
          <w:rFonts w:hint="eastAsia" w:ascii="仿宋_GB2312" w:eastAsia="仿宋_GB2312"/>
          <w:sz w:val="24"/>
          <w:szCs w:val="24"/>
        </w:rPr>
        <w:t>》行业标准通过立项，被列入2017年推荐性物流行业标准项目计划。</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该标准</w:t>
      </w:r>
      <w:r>
        <w:rPr>
          <w:rFonts w:ascii="仿宋_GB2312" w:eastAsia="仿宋_GB2312"/>
          <w:sz w:val="24"/>
          <w:szCs w:val="24"/>
        </w:rPr>
        <w:t>由</w:t>
      </w:r>
      <w:r>
        <w:rPr>
          <w:rFonts w:hint="eastAsia" w:ascii="仿宋_GB2312" w:eastAsia="仿宋_GB2312"/>
          <w:sz w:val="24"/>
          <w:szCs w:val="24"/>
        </w:rPr>
        <w:t>中国物流与采购联合会</w:t>
      </w:r>
      <w:r>
        <w:rPr>
          <w:rFonts w:ascii="仿宋_GB2312" w:eastAsia="仿宋_GB2312"/>
          <w:sz w:val="24"/>
          <w:szCs w:val="24"/>
        </w:rPr>
        <w:t>提出</w:t>
      </w:r>
      <w:r>
        <w:rPr>
          <w:rFonts w:hint="eastAsia" w:ascii="仿宋_GB2312" w:eastAsia="仿宋_GB2312"/>
          <w:sz w:val="24"/>
          <w:szCs w:val="24"/>
        </w:rPr>
        <w:t>，由全国物流标准化技术委员会</w:t>
      </w:r>
      <w:r>
        <w:rPr>
          <w:rFonts w:hint="eastAsia"/>
        </w:rPr>
        <w:t>（SAC/TC269）</w:t>
      </w:r>
      <w:r>
        <w:rPr>
          <w:rFonts w:hint="eastAsia" w:ascii="仿宋_GB2312" w:eastAsia="仿宋_GB2312"/>
          <w:sz w:val="24"/>
          <w:szCs w:val="24"/>
        </w:rPr>
        <w:t>作为技术</w:t>
      </w:r>
      <w:r>
        <w:rPr>
          <w:rFonts w:ascii="仿宋_GB2312" w:eastAsia="仿宋_GB2312"/>
          <w:sz w:val="24"/>
          <w:szCs w:val="24"/>
        </w:rPr>
        <w:t>归口</w:t>
      </w:r>
      <w:r>
        <w:rPr>
          <w:rFonts w:hint="eastAsia" w:ascii="仿宋_GB2312" w:eastAsia="仿宋_GB2312"/>
          <w:sz w:val="24"/>
          <w:szCs w:val="24"/>
        </w:rPr>
        <w:t>单位</w:t>
      </w:r>
      <w:r>
        <w:rPr>
          <w:rFonts w:ascii="仿宋_GB2312" w:eastAsia="仿宋_GB2312"/>
          <w:sz w:val="24"/>
          <w:szCs w:val="24"/>
        </w:rPr>
        <w:t>，由</w:t>
      </w:r>
      <w:r>
        <w:rPr>
          <w:rFonts w:hint="eastAsia" w:ascii="仿宋_GB2312" w:eastAsia="仿宋_GB2312"/>
          <w:sz w:val="24"/>
          <w:szCs w:val="24"/>
        </w:rPr>
        <w:t>中国物流与采购联合会冷链物流专业委员会、中机十院国际工程有限公司、厦门市标准化研究院、国家农产品现代物流工程技术研究中心、广东省东莞市技术质量监督标准与编码所、山东商业职业技术学院、郑州国际陆港开发建设有限公司、江苏晶雪节能科技股份有限公司、深圳市凯东源现代物流股份有限公司、福建安井食品股份有限公司等单位共同组织起草。中国物流与采购联合会冷链物流专业委员会为保证本项目顺利实施，还承担了组织协调和各项保障任务。</w:t>
      </w:r>
    </w:p>
    <w:p>
      <w:pPr>
        <w:pStyle w:val="18"/>
        <w:spacing w:line="360" w:lineRule="auto"/>
        <w:ind w:firstLine="480"/>
        <w:rPr>
          <w:rFonts w:ascii="仿宋_GB2312" w:hAnsi="Calibri" w:eastAsia="仿宋_GB2312" w:cs="黑体"/>
          <w:kern w:val="2"/>
          <w:sz w:val="24"/>
          <w:szCs w:val="24"/>
        </w:rPr>
      </w:pPr>
      <w:r>
        <w:rPr>
          <w:rFonts w:ascii="仿宋_GB2312" w:eastAsia="仿宋_GB2312"/>
          <w:sz w:val="24"/>
          <w:szCs w:val="24"/>
        </w:rPr>
        <w:t>《</w:t>
      </w:r>
      <w:r>
        <w:rPr>
          <w:rFonts w:hint="eastAsia" w:ascii="仿宋_GB2312" w:eastAsia="仿宋_GB2312"/>
          <w:sz w:val="24"/>
          <w:szCs w:val="24"/>
          <w:lang w:eastAsia="zh-CN"/>
        </w:rPr>
        <w:t>食品冷库能效设施评估指标</w:t>
      </w:r>
      <w:r>
        <w:rPr>
          <w:rFonts w:ascii="仿宋_GB2312" w:eastAsia="仿宋_GB2312"/>
          <w:sz w:val="24"/>
          <w:szCs w:val="24"/>
        </w:rPr>
        <w:t>》</w:t>
      </w:r>
      <w:r>
        <w:rPr>
          <w:rFonts w:hint="eastAsia" w:ascii="仿宋_GB2312" w:hAnsi="Calibri" w:eastAsia="仿宋_GB2312" w:cs="黑体"/>
          <w:kern w:val="2"/>
          <w:sz w:val="24"/>
          <w:szCs w:val="24"/>
        </w:rPr>
        <w:t>行标规定了</w:t>
      </w:r>
      <w:bookmarkStart w:id="0" w:name="OLE_LINK17"/>
      <w:r>
        <w:rPr>
          <w:rFonts w:hint="eastAsia" w:ascii="仿宋_GB2312" w:hAnsi="Calibri" w:eastAsia="仿宋_GB2312" w:cs="黑体"/>
          <w:kern w:val="2"/>
          <w:sz w:val="24"/>
          <w:szCs w:val="24"/>
        </w:rPr>
        <w:t>新、改、扩建</w:t>
      </w:r>
      <w:r>
        <w:rPr>
          <w:rFonts w:hint="eastAsia" w:ascii="仿宋_GB2312" w:hAnsi="Calibri" w:eastAsia="仿宋_GB2312" w:cs="黑体"/>
          <w:kern w:val="2"/>
          <w:sz w:val="24"/>
          <w:szCs w:val="24"/>
          <w:lang w:eastAsia="zh-CN"/>
        </w:rPr>
        <w:t>食品冷库能效设施等级评估指标</w:t>
      </w:r>
      <w:r>
        <w:rPr>
          <w:rFonts w:hint="eastAsia" w:ascii="仿宋_GB2312" w:hAnsi="Calibri" w:eastAsia="仿宋_GB2312" w:cs="黑体"/>
          <w:kern w:val="2"/>
          <w:sz w:val="24"/>
          <w:szCs w:val="24"/>
        </w:rPr>
        <w:t>。适用于</w:t>
      </w:r>
      <w:bookmarkEnd w:id="0"/>
      <w:r>
        <w:rPr>
          <w:rFonts w:hint="eastAsia" w:ascii="仿宋_GB2312" w:hAnsi="Calibri" w:eastAsia="仿宋_GB2312" w:cs="黑体"/>
          <w:kern w:val="2"/>
          <w:sz w:val="24"/>
          <w:szCs w:val="24"/>
        </w:rPr>
        <w:t>公称容积在</w:t>
      </w:r>
      <w:r>
        <w:rPr>
          <w:rFonts w:ascii="仿宋_GB2312" w:hAnsi="Calibri" w:eastAsia="仿宋_GB2312" w:cs="黑体"/>
          <w:kern w:val="2"/>
          <w:sz w:val="24"/>
          <w:szCs w:val="24"/>
        </w:rPr>
        <w:t>5000m</w:t>
      </w:r>
      <w:r>
        <w:rPr>
          <w:rFonts w:ascii="仿宋_GB2312" w:hAnsi="Calibri" w:eastAsia="仿宋_GB2312" w:cs="黑体"/>
          <w:kern w:val="2"/>
          <w:sz w:val="24"/>
          <w:szCs w:val="24"/>
          <w:vertAlign w:val="superscript"/>
        </w:rPr>
        <w:t>3</w:t>
      </w:r>
      <w:r>
        <w:rPr>
          <w:rFonts w:hint="eastAsia" w:ascii="仿宋_GB2312" w:hAnsi="Calibri" w:eastAsia="仿宋_GB2312" w:cs="黑体"/>
          <w:kern w:val="2"/>
          <w:sz w:val="24"/>
          <w:szCs w:val="24"/>
        </w:rPr>
        <w:t>以上冷库，不</w:t>
      </w:r>
      <w:r>
        <w:rPr>
          <w:rFonts w:ascii="仿宋_GB2312" w:hAnsi="Calibri" w:eastAsia="仿宋_GB2312" w:cs="黑体"/>
          <w:kern w:val="2"/>
          <w:sz w:val="24"/>
          <w:szCs w:val="24"/>
        </w:rPr>
        <w:t>适用于</w:t>
      </w:r>
      <w:r>
        <w:rPr>
          <w:rFonts w:hint="eastAsia" w:ascii="仿宋_GB2312" w:hAnsi="Calibri" w:eastAsia="仿宋_GB2312" w:cs="黑体"/>
          <w:kern w:val="2"/>
          <w:sz w:val="24"/>
          <w:szCs w:val="24"/>
        </w:rPr>
        <w:t>山洞</w:t>
      </w:r>
      <w:r>
        <w:rPr>
          <w:rFonts w:ascii="仿宋_GB2312" w:hAnsi="Calibri" w:eastAsia="仿宋_GB2312" w:cs="黑体"/>
          <w:kern w:val="2"/>
          <w:sz w:val="24"/>
          <w:szCs w:val="24"/>
        </w:rPr>
        <w:t>冷库及气调库</w:t>
      </w:r>
      <w:r>
        <w:rPr>
          <w:rFonts w:hint="eastAsia" w:ascii="仿宋_GB2312" w:hAnsi="Calibri" w:eastAsia="仿宋_GB2312" w:cs="黑体"/>
          <w:kern w:val="2"/>
          <w:sz w:val="24"/>
          <w:szCs w:val="24"/>
        </w:rPr>
        <w:t>。</w:t>
      </w:r>
    </w:p>
    <w:p>
      <w:pPr>
        <w:pStyle w:val="27"/>
        <w:spacing w:line="360" w:lineRule="auto"/>
        <w:ind w:firstLine="0" w:firstLineChars="0"/>
        <w:rPr>
          <w:rFonts w:ascii="仿宋_GB2312" w:eastAsia="仿宋_GB2312"/>
          <w:b/>
          <w:color w:val="000000"/>
          <w:sz w:val="24"/>
          <w:szCs w:val="24"/>
        </w:rPr>
      </w:pPr>
      <w:r>
        <w:rPr>
          <w:rFonts w:hint="eastAsia" w:ascii="仿宋_GB2312" w:eastAsia="仿宋_GB2312"/>
          <w:b/>
          <w:color w:val="000000"/>
          <w:sz w:val="24"/>
          <w:szCs w:val="24"/>
          <w:lang w:val="en-US" w:eastAsia="zh-CN"/>
        </w:rPr>
        <w:t>二</w:t>
      </w:r>
      <w:r>
        <w:rPr>
          <w:rFonts w:hint="eastAsia" w:ascii="仿宋_GB2312" w:eastAsia="仿宋_GB2312"/>
          <w:b/>
          <w:color w:val="000000"/>
          <w:sz w:val="24"/>
          <w:szCs w:val="24"/>
        </w:rPr>
        <w:t>、</w:t>
      </w:r>
      <w:r>
        <w:rPr>
          <w:rFonts w:ascii="仿宋_GB2312" w:eastAsia="仿宋_GB2312"/>
          <w:b/>
          <w:color w:val="000000"/>
          <w:sz w:val="24"/>
          <w:szCs w:val="24"/>
        </w:rPr>
        <w:t>标准</w:t>
      </w:r>
      <w:r>
        <w:rPr>
          <w:rFonts w:hint="eastAsia" w:ascii="仿宋_GB2312" w:eastAsia="仿宋_GB2312"/>
          <w:b/>
          <w:color w:val="000000"/>
          <w:sz w:val="24"/>
          <w:szCs w:val="24"/>
        </w:rPr>
        <w:t>编写</w:t>
      </w:r>
      <w:r>
        <w:rPr>
          <w:rFonts w:ascii="仿宋_GB2312" w:eastAsia="仿宋_GB2312"/>
          <w:b/>
          <w:color w:val="000000"/>
          <w:sz w:val="24"/>
          <w:szCs w:val="24"/>
        </w:rPr>
        <w:t>的目的</w:t>
      </w:r>
      <w:r>
        <w:rPr>
          <w:rFonts w:hint="eastAsia" w:ascii="仿宋_GB2312" w:eastAsia="仿宋_GB2312"/>
          <w:b/>
          <w:color w:val="000000"/>
          <w:sz w:val="24"/>
          <w:szCs w:val="24"/>
        </w:rPr>
        <w:t>、</w:t>
      </w:r>
      <w:r>
        <w:rPr>
          <w:rFonts w:ascii="仿宋_GB2312" w:eastAsia="仿宋_GB2312"/>
          <w:b/>
          <w:color w:val="000000"/>
          <w:sz w:val="24"/>
          <w:szCs w:val="24"/>
        </w:rPr>
        <w:t>意义</w:t>
      </w:r>
    </w:p>
    <w:p>
      <w:pPr>
        <w:spacing w:line="360" w:lineRule="auto"/>
        <w:ind w:firstLine="480" w:firstLineChars="200"/>
        <w:rPr>
          <w:rFonts w:ascii="仿宋_GB2312" w:eastAsia="仿宋_GB2312" w:cs="Times New Roman"/>
          <w:color w:val="000000"/>
          <w:sz w:val="24"/>
          <w:szCs w:val="24"/>
        </w:rPr>
      </w:pPr>
      <w:r>
        <w:rPr>
          <w:rFonts w:hint="eastAsia" w:ascii="仿宋_GB2312" w:eastAsia="仿宋_GB2312" w:cs="Times New Roman"/>
          <w:color w:val="000000"/>
          <w:sz w:val="24"/>
          <w:szCs w:val="24"/>
        </w:rPr>
        <w:t>在食品安全问题日益得到重视的大环境下，我国冷链从无到有，冷库作为冷链的存储和周转节点，市场对其需求量急剧增加。对应冷链的高速发展，冷库建设也出现了“井喷”的局面，储存吨位急剧增加，同时由于货物的时效性，冷库也由传统的储存型冷库为主转变为以流通型冷库为主，以储存、加工型冷库为辅的局面。市场对冷库的要求也越来越高。</w:t>
      </w:r>
    </w:p>
    <w:p>
      <w:pPr>
        <w:spacing w:line="360" w:lineRule="auto"/>
        <w:ind w:firstLine="480" w:firstLineChars="200"/>
        <w:rPr>
          <w:rFonts w:ascii="仿宋_GB2312" w:eastAsia="仿宋_GB2312" w:cs="Times New Roman"/>
          <w:color w:val="000000"/>
          <w:sz w:val="24"/>
          <w:szCs w:val="24"/>
        </w:rPr>
      </w:pPr>
      <w:r>
        <w:rPr>
          <w:rFonts w:hint="eastAsia" w:ascii="仿宋_GB2312" w:eastAsia="仿宋_GB2312" w:cs="Times New Roman"/>
          <w:color w:val="000000"/>
          <w:sz w:val="24"/>
          <w:szCs w:val="24"/>
        </w:rPr>
        <w:t>冷库属于高能耗型建筑，虽然冷库建设的“井喷”在一定程度上满足了冷链的需求，但是由于我国食品冷链基础薄弱，冷库方面人才和规范储备不足，导致食品冷库的建设良莠不齐。冷库建设中，相关设施的供应更是五花八门，同时人才的不足导致建设中无法对相关设施进行专业的选择，规范的不完善导致很难对建成的冷库能耗进行评估。</w:t>
      </w:r>
    </w:p>
    <w:p>
      <w:pPr>
        <w:spacing w:line="360" w:lineRule="auto"/>
        <w:ind w:firstLine="480" w:firstLineChars="200"/>
        <w:rPr>
          <w:rFonts w:ascii="仿宋_GB2312" w:eastAsia="仿宋_GB2312" w:cs="Times New Roman"/>
          <w:color w:val="000000"/>
          <w:sz w:val="24"/>
          <w:szCs w:val="24"/>
        </w:rPr>
      </w:pPr>
      <w:r>
        <w:rPr>
          <w:rFonts w:hint="eastAsia" w:ascii="仿宋_GB2312" w:eastAsia="仿宋_GB2312" w:cs="Times New Roman"/>
          <w:color w:val="000000"/>
          <w:sz w:val="24"/>
          <w:szCs w:val="24"/>
        </w:rPr>
        <w:t>在现阶段，有国际背景的冷链物流企业逐步进入国内冷库市场，凸显出我国冷库与具有成熟食品冷链体系的发达国家之间的差距。美国、欧洲等发达国家的冷库能效评估已建立并应用到实际，能效设施的使用已常态化，我国目前尚无可行的能效评估体系，对能效设施的认识也仅存在于设施生产厂家或技术人员的“自主定义”。</w:t>
      </w:r>
    </w:p>
    <w:p>
      <w:pPr>
        <w:spacing w:line="360" w:lineRule="auto"/>
        <w:ind w:firstLine="480" w:firstLineChars="200"/>
        <w:rPr>
          <w:rFonts w:ascii="仿宋_GB2312" w:eastAsia="仿宋_GB2312" w:cs="Times New Roman"/>
          <w:color w:val="000000"/>
          <w:sz w:val="24"/>
          <w:szCs w:val="24"/>
        </w:rPr>
      </w:pPr>
      <w:r>
        <w:rPr>
          <w:rFonts w:hint="eastAsia" w:ascii="仿宋_GB2312" w:eastAsia="仿宋_GB2312" w:cs="Times New Roman"/>
          <w:color w:val="000000"/>
          <w:sz w:val="24"/>
          <w:szCs w:val="24"/>
        </w:rPr>
        <w:t>冷库能效设施等级评估体系的缺失在很大程度上影响着食品产业的发展，同时也不利于我国节能减排目标的实现。目前，我国冷链所使用的冷库大约70%还是按照储存型冷库在建设，均以价格为首要考虑因素，对能效设施的关注严重不足。大多数冷库的建设方，以储存吨位、单位造价为主要目的，在单位能耗、单位时间周转量等方面关注很低。</w:t>
      </w:r>
    </w:p>
    <w:p>
      <w:pPr>
        <w:spacing w:line="360" w:lineRule="auto"/>
        <w:ind w:firstLine="480" w:firstLineChars="200"/>
        <w:rPr>
          <w:rFonts w:ascii="仿宋_GB2312" w:eastAsia="仿宋_GB2312" w:cs="Times New Roman"/>
          <w:color w:val="000000"/>
          <w:sz w:val="24"/>
          <w:szCs w:val="24"/>
        </w:rPr>
      </w:pPr>
      <w:r>
        <w:rPr>
          <w:rFonts w:hint="eastAsia" w:ascii="仿宋_GB2312" w:eastAsia="仿宋_GB2312" w:cs="Times New Roman"/>
          <w:color w:val="000000"/>
          <w:sz w:val="24"/>
          <w:szCs w:val="24"/>
        </w:rPr>
        <w:t>《</w:t>
      </w:r>
      <w:r>
        <w:rPr>
          <w:rFonts w:hint="eastAsia" w:ascii="仿宋_GB2312" w:eastAsia="仿宋_GB2312" w:cs="Times New Roman"/>
          <w:color w:val="000000"/>
          <w:sz w:val="24"/>
          <w:szCs w:val="24"/>
          <w:lang w:eastAsia="zh-CN"/>
        </w:rPr>
        <w:t>食品冷库能效设施评估指标</w:t>
      </w:r>
      <w:r>
        <w:rPr>
          <w:rFonts w:hint="eastAsia" w:ascii="仿宋_GB2312" w:eastAsia="仿宋_GB2312" w:cs="Times New Roman"/>
          <w:color w:val="000000"/>
          <w:sz w:val="24"/>
          <w:szCs w:val="24"/>
        </w:rPr>
        <w:t>》行业标准的制定，将成为我国冷库能效评估体系建立的第一步，为今后体系的建立提供设施方面的基础。通过本标准，建设者可清楚知道冷库建设中，哪些能效设施能带来可观的经济效益，使用者可清楚知道冷库使用中，哪些能效设施能降低货物的流转成本，设施提供者可清楚认识到该向哪些方向研发新的能效设施，能效评估者可很容易的获得冷库能效设施的相关数据。最终在冷库的建设中形成一个良性的、行之有效的建设链，并最终形成对我国冷库市场可行的能效评估体系，促进我国的冷链体系的良性发展。</w:t>
      </w:r>
    </w:p>
    <w:p>
      <w:pPr>
        <w:pStyle w:val="27"/>
        <w:spacing w:line="360" w:lineRule="auto"/>
        <w:ind w:firstLine="0" w:firstLineChars="0"/>
        <w:rPr>
          <w:rFonts w:ascii="仿宋_GB2312" w:eastAsia="仿宋_GB2312"/>
          <w:b/>
          <w:color w:val="000000"/>
          <w:sz w:val="24"/>
          <w:szCs w:val="24"/>
        </w:rPr>
      </w:pPr>
      <w:r>
        <w:rPr>
          <w:rFonts w:hint="eastAsia" w:ascii="仿宋_GB2312" w:eastAsia="仿宋_GB2312"/>
          <w:b/>
          <w:color w:val="000000"/>
          <w:sz w:val="24"/>
          <w:szCs w:val="24"/>
          <w:lang w:val="en-US" w:eastAsia="zh-CN"/>
        </w:rPr>
        <w:t>三</w:t>
      </w:r>
      <w:r>
        <w:rPr>
          <w:rFonts w:hint="eastAsia" w:ascii="仿宋_GB2312" w:eastAsia="仿宋_GB2312"/>
          <w:b/>
          <w:color w:val="000000"/>
          <w:sz w:val="24"/>
          <w:szCs w:val="24"/>
        </w:rPr>
        <w:t>、主要</w:t>
      </w:r>
      <w:r>
        <w:rPr>
          <w:rFonts w:ascii="仿宋_GB2312" w:eastAsia="仿宋_GB2312"/>
          <w:b/>
          <w:color w:val="000000"/>
          <w:sz w:val="24"/>
          <w:szCs w:val="24"/>
        </w:rPr>
        <w:t>工作</w:t>
      </w:r>
      <w:r>
        <w:rPr>
          <w:rFonts w:hint="eastAsia" w:ascii="仿宋_GB2312" w:eastAsia="仿宋_GB2312"/>
          <w:b/>
          <w:color w:val="000000"/>
          <w:sz w:val="24"/>
          <w:szCs w:val="24"/>
        </w:rPr>
        <w:t>过程</w:t>
      </w:r>
    </w:p>
    <w:p>
      <w:pPr>
        <w:spacing w:line="360" w:lineRule="auto"/>
        <w:ind w:firstLine="482" w:firstLineChars="200"/>
        <w:rPr>
          <w:rFonts w:ascii="仿宋_GB2312" w:eastAsia="仿宋_GB2312"/>
          <w:b/>
          <w:sz w:val="24"/>
          <w:szCs w:val="24"/>
        </w:rPr>
      </w:pPr>
      <w:r>
        <w:rPr>
          <w:rFonts w:hint="eastAsia" w:ascii="仿宋_GB2312" w:eastAsia="仿宋_GB2312"/>
          <w:b/>
          <w:sz w:val="24"/>
          <w:szCs w:val="24"/>
        </w:rPr>
        <w:t>1、</w:t>
      </w:r>
      <w:r>
        <w:rPr>
          <w:rFonts w:ascii="仿宋_GB2312" w:eastAsia="仿宋_GB2312"/>
          <w:b/>
          <w:sz w:val="24"/>
          <w:szCs w:val="24"/>
        </w:rPr>
        <w:t>起草阶段</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根据《2017年推荐性物流行业标准项目计划》，</w:t>
      </w:r>
      <w:r>
        <w:rPr>
          <w:rFonts w:ascii="仿宋_GB2312" w:eastAsia="仿宋_GB2312"/>
          <w:sz w:val="24"/>
          <w:szCs w:val="24"/>
        </w:rPr>
        <w:t>《</w:t>
      </w:r>
      <w:r>
        <w:rPr>
          <w:rFonts w:hint="eastAsia" w:ascii="仿宋_GB2312" w:eastAsia="仿宋_GB2312"/>
          <w:sz w:val="24"/>
          <w:szCs w:val="24"/>
        </w:rPr>
        <w:t>食品</w:t>
      </w:r>
      <w:r>
        <w:rPr>
          <w:rFonts w:hint="eastAsia" w:ascii="仿宋_GB2312" w:eastAsia="仿宋_GB2312"/>
          <w:sz w:val="24"/>
          <w:szCs w:val="24"/>
          <w:lang w:eastAsia="zh-CN"/>
        </w:rPr>
        <w:t>食品冷库能效设施评估指标</w:t>
      </w:r>
      <w:r>
        <w:rPr>
          <w:rFonts w:ascii="仿宋_GB2312" w:eastAsia="仿宋_GB2312"/>
          <w:sz w:val="24"/>
          <w:szCs w:val="24"/>
        </w:rPr>
        <w:t>》</w:t>
      </w:r>
      <w:r>
        <w:rPr>
          <w:rFonts w:hint="eastAsia" w:ascii="仿宋_GB2312" w:eastAsia="仿宋_GB2312"/>
          <w:sz w:val="24"/>
          <w:szCs w:val="24"/>
        </w:rPr>
        <w:t>行业</w:t>
      </w:r>
      <w:r>
        <w:rPr>
          <w:rFonts w:ascii="仿宋_GB2312" w:eastAsia="仿宋_GB2312"/>
          <w:sz w:val="24"/>
          <w:szCs w:val="24"/>
        </w:rPr>
        <w:t>标准</w:t>
      </w:r>
      <w:r>
        <w:rPr>
          <w:rFonts w:hint="eastAsia" w:ascii="仿宋_GB2312" w:eastAsia="仿宋_GB2312"/>
          <w:sz w:val="24"/>
          <w:szCs w:val="24"/>
        </w:rPr>
        <w:t>制定课题下达后，中国物流与采购联合会冷链物流专业委员会、中机十院国际工程有限公司、厦门市标准化研究院、国家农产品现代物流工程技术研究中心、广东省东莞市技术质量监督标准与编码所、山东商业职业技术学院、郑州国际陆港开发建设有限公司、江苏晶雪节能科技股份有限公司、深圳市凯东源现代物流股份有限公司</w:t>
      </w:r>
      <w:r>
        <w:rPr>
          <w:rFonts w:hint="eastAsia" w:ascii="仿宋_GB2312" w:eastAsia="仿宋_GB2312"/>
          <w:sz w:val="24"/>
          <w:szCs w:val="24"/>
          <w:lang w:eastAsia="zh-CN"/>
        </w:rPr>
        <w:t>、福建安井食品股份有限公司</w:t>
      </w:r>
      <w:r>
        <w:rPr>
          <w:rFonts w:hint="eastAsia" w:ascii="仿宋_GB2312" w:eastAsia="仿宋_GB2312"/>
          <w:sz w:val="24"/>
          <w:szCs w:val="24"/>
        </w:rPr>
        <w:t>等单位组成项目组；同时成立了《</w:t>
      </w:r>
      <w:r>
        <w:rPr>
          <w:rFonts w:hint="eastAsia" w:ascii="仿宋_GB2312" w:eastAsia="仿宋_GB2312"/>
          <w:sz w:val="24"/>
          <w:szCs w:val="24"/>
          <w:lang w:eastAsia="zh-CN"/>
        </w:rPr>
        <w:t>食品冷库能效设施评估指标</w:t>
      </w:r>
      <w:r>
        <w:rPr>
          <w:rFonts w:hint="eastAsia" w:ascii="仿宋_GB2312" w:eastAsia="仿宋_GB2312"/>
          <w:sz w:val="24"/>
          <w:szCs w:val="24"/>
        </w:rPr>
        <w:t>》标准起草小组，由中机十院国际工程有限公司完成初稿的起草工作。</w:t>
      </w:r>
    </w:p>
    <w:p>
      <w:pPr>
        <w:spacing w:line="360" w:lineRule="auto"/>
        <w:ind w:firstLine="482" w:firstLineChars="200"/>
        <w:rPr>
          <w:rFonts w:ascii="仿宋_GB2312" w:eastAsia="仿宋_GB2312"/>
          <w:b/>
          <w:sz w:val="24"/>
          <w:szCs w:val="24"/>
        </w:rPr>
      </w:pPr>
      <w:r>
        <w:rPr>
          <w:rFonts w:hint="eastAsia" w:ascii="仿宋_GB2312" w:eastAsia="仿宋_GB2312"/>
          <w:b/>
          <w:sz w:val="24"/>
          <w:szCs w:val="24"/>
        </w:rPr>
        <w:t>2、</w:t>
      </w:r>
      <w:r>
        <w:rPr>
          <w:rFonts w:ascii="仿宋_GB2312" w:eastAsia="仿宋_GB2312"/>
          <w:b/>
          <w:sz w:val="24"/>
          <w:szCs w:val="24"/>
        </w:rPr>
        <w:t>标准启动</w:t>
      </w:r>
    </w:p>
    <w:p>
      <w:pPr>
        <w:autoSpaceDE w:val="0"/>
        <w:autoSpaceDN w:val="0"/>
        <w:adjustRightInd w:val="0"/>
        <w:spacing w:line="360" w:lineRule="auto"/>
        <w:ind w:firstLine="480" w:firstLineChars="200"/>
        <w:jc w:val="left"/>
        <w:rPr>
          <w:rFonts w:ascii="仿宋_GB2312" w:eastAsia="仿宋_GB2312"/>
          <w:sz w:val="24"/>
          <w:szCs w:val="24"/>
        </w:rPr>
      </w:pPr>
      <w:r>
        <w:rPr>
          <w:rFonts w:ascii="仿宋_GB2312" w:eastAsia="仿宋_GB2312"/>
          <w:sz w:val="24"/>
          <w:szCs w:val="24"/>
        </w:rPr>
        <w:t>20</w:t>
      </w:r>
      <w:r>
        <w:rPr>
          <w:rFonts w:hint="eastAsia" w:ascii="仿宋_GB2312" w:eastAsia="仿宋_GB2312"/>
          <w:sz w:val="24"/>
          <w:szCs w:val="24"/>
        </w:rPr>
        <w:t>1</w:t>
      </w:r>
      <w:r>
        <w:rPr>
          <w:rFonts w:ascii="仿宋_GB2312" w:eastAsia="仿宋_GB2312"/>
          <w:sz w:val="24"/>
          <w:szCs w:val="24"/>
        </w:rPr>
        <w:t>7</w:t>
      </w:r>
      <w:r>
        <w:rPr>
          <w:rFonts w:hint="eastAsia" w:ascii="仿宋_GB2312" w:eastAsia="仿宋_GB2312"/>
          <w:sz w:val="24"/>
          <w:szCs w:val="24"/>
        </w:rPr>
        <w:t>年</w:t>
      </w:r>
      <w:r>
        <w:rPr>
          <w:rFonts w:ascii="仿宋_GB2312" w:eastAsia="仿宋_GB2312"/>
          <w:sz w:val="24"/>
          <w:szCs w:val="24"/>
        </w:rPr>
        <w:t>11</w:t>
      </w:r>
      <w:r>
        <w:rPr>
          <w:rFonts w:hint="eastAsia" w:ascii="仿宋_GB2312" w:eastAsia="仿宋_GB2312"/>
          <w:sz w:val="24"/>
          <w:szCs w:val="24"/>
        </w:rPr>
        <w:t>月2</w:t>
      </w:r>
      <w:r>
        <w:rPr>
          <w:rFonts w:ascii="仿宋_GB2312" w:eastAsia="仿宋_GB2312"/>
          <w:sz w:val="24"/>
          <w:szCs w:val="24"/>
        </w:rPr>
        <w:t>1</w:t>
      </w:r>
      <w:r>
        <w:rPr>
          <w:rFonts w:hint="eastAsia" w:ascii="仿宋_GB2312" w:eastAsia="仿宋_GB2312"/>
          <w:sz w:val="24"/>
          <w:szCs w:val="24"/>
        </w:rPr>
        <w:t>日下午，《食品冷库能效设施评估指标》标准启动会由冷链委组织各</w:t>
      </w:r>
      <w:r>
        <w:rPr>
          <w:rFonts w:ascii="仿宋_GB2312" w:eastAsia="仿宋_GB2312"/>
          <w:sz w:val="24"/>
          <w:szCs w:val="24"/>
        </w:rPr>
        <w:t>起草</w:t>
      </w:r>
      <w:r>
        <w:rPr>
          <w:rFonts w:hint="eastAsia" w:ascii="仿宋_GB2312" w:eastAsia="仿宋_GB2312"/>
          <w:sz w:val="24"/>
          <w:szCs w:val="24"/>
        </w:rPr>
        <w:t>单位在北京召开，作为主起草单位的中机十院</w:t>
      </w:r>
      <w:r>
        <w:rPr>
          <w:rFonts w:ascii="仿宋_GB2312" w:eastAsia="仿宋_GB2312"/>
          <w:sz w:val="24"/>
          <w:szCs w:val="24"/>
        </w:rPr>
        <w:t>国际工程有限公司</w:t>
      </w:r>
      <w:r>
        <w:rPr>
          <w:rFonts w:hint="eastAsia" w:ascii="仿宋_GB2312" w:eastAsia="仿宋_GB2312"/>
          <w:sz w:val="24"/>
          <w:szCs w:val="24"/>
        </w:rPr>
        <w:t>针对各起草单位提出的宝贵意见，对此行业标准文本具体内容进行了修订。</w:t>
      </w:r>
    </w:p>
    <w:p>
      <w:pPr>
        <w:autoSpaceDE w:val="0"/>
        <w:autoSpaceDN w:val="0"/>
        <w:adjustRightInd w:val="0"/>
        <w:spacing w:line="360" w:lineRule="auto"/>
        <w:ind w:firstLine="482" w:firstLineChars="200"/>
        <w:jc w:val="left"/>
        <w:rPr>
          <w:rFonts w:ascii="仿宋_GB2312" w:eastAsia="仿宋_GB2312"/>
          <w:sz w:val="24"/>
          <w:szCs w:val="24"/>
        </w:rPr>
      </w:pPr>
      <w:r>
        <w:rPr>
          <w:rFonts w:ascii="仿宋_GB2312" w:eastAsia="仿宋_GB2312"/>
          <w:b/>
          <w:sz w:val="24"/>
          <w:szCs w:val="24"/>
        </w:rPr>
        <w:t>3</w:t>
      </w:r>
      <w:r>
        <w:rPr>
          <w:rFonts w:hint="eastAsia" w:ascii="仿宋_GB2312" w:eastAsia="仿宋_GB2312"/>
          <w:b/>
          <w:sz w:val="24"/>
          <w:szCs w:val="24"/>
        </w:rPr>
        <w:t>、企业调研</w:t>
      </w:r>
    </w:p>
    <w:p>
      <w:pPr>
        <w:pStyle w:val="27"/>
        <w:spacing w:line="360" w:lineRule="auto"/>
        <w:ind w:firstLine="480"/>
        <w:rPr>
          <w:rFonts w:ascii="仿宋_GB2312" w:eastAsia="仿宋_GB2312"/>
          <w:sz w:val="24"/>
          <w:szCs w:val="24"/>
        </w:rPr>
      </w:pPr>
      <w:r>
        <w:rPr>
          <w:rFonts w:ascii="仿宋_GB2312" w:eastAsia="仿宋_GB2312"/>
          <w:sz w:val="24"/>
          <w:szCs w:val="24"/>
        </w:rPr>
        <w:t>2018</w:t>
      </w:r>
      <w:r>
        <w:rPr>
          <w:rFonts w:hint="eastAsia" w:ascii="仿宋_GB2312" w:eastAsia="仿宋_GB2312"/>
          <w:sz w:val="24"/>
          <w:szCs w:val="24"/>
        </w:rPr>
        <w:t>年02月05日下午，《冷库能效设施评估指标》行业标准起草组一行到北京五环</w:t>
      </w:r>
      <w:r>
        <w:rPr>
          <w:rFonts w:ascii="仿宋_GB2312" w:eastAsia="仿宋_GB2312"/>
          <w:sz w:val="24"/>
          <w:szCs w:val="24"/>
        </w:rPr>
        <w:t>顺通</w:t>
      </w:r>
      <w:r>
        <w:rPr>
          <w:rFonts w:hint="eastAsia" w:ascii="仿宋_GB2312" w:eastAsia="仿宋_GB2312"/>
          <w:sz w:val="24"/>
          <w:szCs w:val="24"/>
        </w:rPr>
        <w:t>物流</w:t>
      </w:r>
      <w:r>
        <w:rPr>
          <w:rFonts w:ascii="仿宋_GB2312" w:eastAsia="仿宋_GB2312"/>
          <w:sz w:val="24"/>
          <w:szCs w:val="24"/>
        </w:rPr>
        <w:t>中心</w:t>
      </w:r>
      <w:r>
        <w:rPr>
          <w:rFonts w:hint="eastAsia" w:ascii="仿宋_GB2312" w:eastAsia="仿宋_GB2312"/>
          <w:sz w:val="24"/>
          <w:szCs w:val="24"/>
        </w:rPr>
        <w:t>进行调研</w:t>
      </w:r>
      <w:r>
        <w:rPr>
          <w:rFonts w:ascii="仿宋_GB2312" w:eastAsia="仿宋_GB2312"/>
          <w:sz w:val="24"/>
          <w:szCs w:val="24"/>
        </w:rPr>
        <w:t>。专家</w:t>
      </w:r>
      <w:r>
        <w:rPr>
          <w:rFonts w:hint="eastAsia" w:ascii="仿宋_GB2312" w:eastAsia="仿宋_GB2312"/>
          <w:sz w:val="24"/>
          <w:szCs w:val="24"/>
        </w:rPr>
        <w:t>提出</w:t>
      </w:r>
      <w:r>
        <w:rPr>
          <w:rFonts w:ascii="仿宋_GB2312" w:eastAsia="仿宋_GB2312"/>
          <w:sz w:val="24"/>
          <w:szCs w:val="24"/>
        </w:rPr>
        <w:t>温度记录设施非能效设施，但可作为</w:t>
      </w:r>
      <w:r>
        <w:rPr>
          <w:rFonts w:hint="eastAsia" w:ascii="仿宋_GB2312" w:eastAsia="仿宋_GB2312"/>
          <w:sz w:val="24"/>
          <w:szCs w:val="24"/>
        </w:rPr>
        <w:t>能效</w:t>
      </w:r>
      <w:r>
        <w:rPr>
          <w:rFonts w:ascii="仿宋_GB2312" w:eastAsia="仿宋_GB2312"/>
          <w:sz w:val="24"/>
          <w:szCs w:val="24"/>
        </w:rPr>
        <w:t>设施</w:t>
      </w:r>
      <w:r>
        <w:rPr>
          <w:rFonts w:hint="eastAsia" w:ascii="仿宋_GB2312" w:eastAsia="仿宋_GB2312"/>
          <w:sz w:val="24"/>
          <w:szCs w:val="24"/>
        </w:rPr>
        <w:t>评估</w:t>
      </w:r>
      <w:r>
        <w:rPr>
          <w:rFonts w:ascii="仿宋_GB2312" w:eastAsia="仿宋_GB2312"/>
          <w:sz w:val="24"/>
          <w:szCs w:val="24"/>
        </w:rPr>
        <w:t>的前提</w:t>
      </w:r>
      <w:r>
        <w:rPr>
          <w:rFonts w:hint="eastAsia" w:ascii="仿宋_GB2312" w:eastAsia="仿宋_GB2312"/>
          <w:sz w:val="24"/>
          <w:szCs w:val="24"/>
        </w:rPr>
        <w:t>；</w:t>
      </w:r>
      <w:r>
        <w:rPr>
          <w:rFonts w:ascii="仿宋_GB2312" w:eastAsia="仿宋_GB2312"/>
          <w:sz w:val="24"/>
          <w:szCs w:val="24"/>
        </w:rPr>
        <w:t>同时专家从运营的角度</w:t>
      </w:r>
      <w:r>
        <w:rPr>
          <w:rFonts w:hint="eastAsia" w:ascii="仿宋_GB2312" w:eastAsia="仿宋_GB2312"/>
          <w:sz w:val="24"/>
          <w:szCs w:val="24"/>
        </w:rPr>
        <w:t>建议</w:t>
      </w:r>
      <w:r>
        <w:rPr>
          <w:rFonts w:ascii="仿宋_GB2312" w:eastAsia="仿宋_GB2312"/>
          <w:sz w:val="24"/>
          <w:szCs w:val="24"/>
        </w:rPr>
        <w:t>将进货温度、</w:t>
      </w:r>
      <w:r>
        <w:rPr>
          <w:rFonts w:hint="eastAsia" w:ascii="仿宋_GB2312" w:eastAsia="仿宋_GB2312"/>
          <w:sz w:val="24"/>
          <w:szCs w:val="24"/>
        </w:rPr>
        <w:t>设备</w:t>
      </w:r>
      <w:r>
        <w:rPr>
          <w:rFonts w:ascii="仿宋_GB2312" w:eastAsia="仿宋_GB2312"/>
          <w:sz w:val="24"/>
          <w:szCs w:val="24"/>
        </w:rPr>
        <w:t>品牌及企业运营等方面纳入考核指标。</w:t>
      </w:r>
    </w:p>
    <w:p>
      <w:pPr>
        <w:pStyle w:val="27"/>
        <w:spacing w:line="360" w:lineRule="auto"/>
        <w:ind w:firstLine="480"/>
        <w:rPr>
          <w:rFonts w:ascii="仿宋_GB2312" w:eastAsia="仿宋_GB2312"/>
          <w:sz w:val="24"/>
          <w:szCs w:val="24"/>
        </w:rPr>
      </w:pPr>
      <w:r>
        <w:rPr>
          <w:rFonts w:ascii="仿宋_GB2312" w:eastAsia="仿宋_GB2312"/>
          <w:sz w:val="24"/>
          <w:szCs w:val="24"/>
        </w:rPr>
        <w:t>2018</w:t>
      </w:r>
      <w:r>
        <w:rPr>
          <w:rFonts w:hint="eastAsia" w:ascii="仿宋_GB2312" w:eastAsia="仿宋_GB2312"/>
          <w:sz w:val="24"/>
          <w:szCs w:val="24"/>
        </w:rPr>
        <w:t>年02月0</w:t>
      </w:r>
      <w:r>
        <w:rPr>
          <w:rFonts w:ascii="仿宋_GB2312" w:eastAsia="仿宋_GB2312"/>
          <w:sz w:val="24"/>
          <w:szCs w:val="24"/>
        </w:rPr>
        <w:t>6</w:t>
      </w:r>
      <w:r>
        <w:rPr>
          <w:rFonts w:hint="eastAsia" w:ascii="仿宋_GB2312" w:eastAsia="仿宋_GB2312"/>
          <w:sz w:val="24"/>
          <w:szCs w:val="24"/>
        </w:rPr>
        <w:t>日上午，《冷库能效设施评估指标》行业标准起草组一行到招商美冷</w:t>
      </w:r>
      <w:r>
        <w:rPr>
          <w:rFonts w:ascii="仿宋_GB2312" w:eastAsia="仿宋_GB2312"/>
          <w:sz w:val="24"/>
          <w:szCs w:val="24"/>
        </w:rPr>
        <w:t>北京公司</w:t>
      </w:r>
      <w:r>
        <w:rPr>
          <w:rFonts w:hint="eastAsia" w:ascii="仿宋_GB2312" w:eastAsia="仿宋_GB2312"/>
          <w:sz w:val="24"/>
          <w:szCs w:val="24"/>
        </w:rPr>
        <w:t>进行</w:t>
      </w:r>
      <w:r>
        <w:rPr>
          <w:rFonts w:ascii="仿宋_GB2312" w:eastAsia="仿宋_GB2312"/>
          <w:sz w:val="24"/>
          <w:szCs w:val="24"/>
        </w:rPr>
        <w:t>调研。专家</w:t>
      </w:r>
      <w:r>
        <w:rPr>
          <w:rFonts w:hint="eastAsia" w:ascii="仿宋_GB2312" w:eastAsia="仿宋_GB2312"/>
          <w:sz w:val="24"/>
          <w:szCs w:val="24"/>
        </w:rPr>
        <w:t>针对</w:t>
      </w:r>
      <w:r>
        <w:rPr>
          <w:rFonts w:ascii="仿宋_GB2312" w:eastAsia="仿宋_GB2312"/>
          <w:sz w:val="24"/>
          <w:szCs w:val="24"/>
        </w:rPr>
        <w:t>冷库能效设施等级评估的评估项目及内容</w:t>
      </w:r>
      <w:r>
        <w:rPr>
          <w:rFonts w:hint="eastAsia" w:ascii="仿宋_GB2312" w:eastAsia="仿宋_GB2312"/>
          <w:sz w:val="24"/>
          <w:szCs w:val="24"/>
        </w:rPr>
        <w:t>即制冷系统</w:t>
      </w:r>
      <w:r>
        <w:rPr>
          <w:rFonts w:ascii="仿宋_GB2312" w:eastAsia="仿宋_GB2312"/>
          <w:sz w:val="24"/>
          <w:szCs w:val="24"/>
        </w:rPr>
        <w:t>设施、</w:t>
      </w:r>
      <w:r>
        <w:rPr>
          <w:rFonts w:hint="eastAsia" w:ascii="仿宋_GB2312" w:eastAsia="仿宋_GB2312"/>
          <w:sz w:val="24"/>
          <w:szCs w:val="24"/>
        </w:rPr>
        <w:t>围护结构</w:t>
      </w:r>
      <w:r>
        <w:rPr>
          <w:rFonts w:ascii="仿宋_GB2312" w:eastAsia="仿宋_GB2312"/>
          <w:sz w:val="24"/>
          <w:szCs w:val="24"/>
        </w:rPr>
        <w:t>设施及辅助设施均提出了</w:t>
      </w:r>
      <w:r>
        <w:rPr>
          <w:rFonts w:hint="eastAsia" w:ascii="仿宋_GB2312" w:eastAsia="仿宋_GB2312"/>
          <w:sz w:val="24"/>
          <w:szCs w:val="24"/>
        </w:rPr>
        <w:t>宝贵</w:t>
      </w:r>
      <w:r>
        <w:rPr>
          <w:rFonts w:ascii="仿宋_GB2312" w:eastAsia="仿宋_GB2312"/>
          <w:sz w:val="24"/>
          <w:szCs w:val="24"/>
        </w:rPr>
        <w:t>的</w:t>
      </w:r>
      <w:r>
        <w:rPr>
          <w:rFonts w:hint="eastAsia" w:ascii="仿宋_GB2312" w:eastAsia="仿宋_GB2312"/>
          <w:sz w:val="24"/>
          <w:szCs w:val="24"/>
        </w:rPr>
        <w:t>意见</w:t>
      </w:r>
      <w:r>
        <w:rPr>
          <w:rFonts w:ascii="仿宋_GB2312" w:eastAsia="仿宋_GB2312"/>
          <w:sz w:val="24"/>
          <w:szCs w:val="24"/>
        </w:rPr>
        <w:t>。</w:t>
      </w:r>
    </w:p>
    <w:p>
      <w:pPr>
        <w:pStyle w:val="27"/>
        <w:spacing w:line="360" w:lineRule="auto"/>
        <w:ind w:firstLine="480"/>
        <w:rPr>
          <w:rFonts w:hint="eastAsia" w:ascii="仿宋_GB2312" w:eastAsia="仿宋_GB2312"/>
          <w:sz w:val="24"/>
          <w:szCs w:val="24"/>
        </w:rPr>
      </w:pPr>
      <w:r>
        <w:rPr>
          <w:rFonts w:ascii="仿宋_GB2312" w:eastAsia="仿宋_GB2312"/>
          <w:sz w:val="24"/>
          <w:szCs w:val="24"/>
        </w:rPr>
        <w:t>2018</w:t>
      </w:r>
      <w:r>
        <w:rPr>
          <w:rFonts w:hint="eastAsia" w:ascii="仿宋_GB2312" w:eastAsia="仿宋_GB2312"/>
          <w:sz w:val="24"/>
          <w:szCs w:val="24"/>
        </w:rPr>
        <w:t>年02月0</w:t>
      </w:r>
      <w:r>
        <w:rPr>
          <w:rFonts w:ascii="仿宋_GB2312" w:eastAsia="仿宋_GB2312"/>
          <w:sz w:val="24"/>
          <w:szCs w:val="24"/>
        </w:rPr>
        <w:t>6</w:t>
      </w:r>
      <w:r>
        <w:rPr>
          <w:rFonts w:hint="eastAsia" w:ascii="仿宋_GB2312" w:eastAsia="仿宋_GB2312"/>
          <w:sz w:val="24"/>
          <w:szCs w:val="24"/>
        </w:rPr>
        <w:t>日下午，《冷库能效设施评估指标》行业标准起草组一行到北京全聚德</w:t>
      </w:r>
      <w:r>
        <w:rPr>
          <w:rFonts w:ascii="仿宋_GB2312" w:eastAsia="仿宋_GB2312"/>
          <w:sz w:val="24"/>
          <w:szCs w:val="24"/>
        </w:rPr>
        <w:t>三元金星</w:t>
      </w:r>
      <w:r>
        <w:rPr>
          <w:rFonts w:hint="eastAsia" w:ascii="仿宋_GB2312" w:eastAsia="仿宋_GB2312"/>
          <w:sz w:val="24"/>
          <w:szCs w:val="24"/>
        </w:rPr>
        <w:t>食品</w:t>
      </w:r>
      <w:r>
        <w:rPr>
          <w:rFonts w:ascii="仿宋_GB2312" w:eastAsia="仿宋_GB2312"/>
          <w:sz w:val="24"/>
          <w:szCs w:val="24"/>
        </w:rPr>
        <w:t>有限责任公司</w:t>
      </w:r>
      <w:r>
        <w:rPr>
          <w:rFonts w:hint="eastAsia" w:ascii="仿宋_GB2312" w:eastAsia="仿宋_GB2312"/>
          <w:sz w:val="24"/>
          <w:szCs w:val="24"/>
        </w:rPr>
        <w:t>进行调研</w:t>
      </w:r>
      <w:r>
        <w:rPr>
          <w:rFonts w:ascii="仿宋_GB2312" w:eastAsia="仿宋_GB2312"/>
          <w:sz w:val="24"/>
          <w:szCs w:val="24"/>
        </w:rPr>
        <w:t>。</w:t>
      </w:r>
      <w:r>
        <w:rPr>
          <w:rFonts w:hint="eastAsia" w:ascii="仿宋_GB2312" w:eastAsia="仿宋_GB2312"/>
          <w:sz w:val="24"/>
          <w:szCs w:val="24"/>
        </w:rPr>
        <w:t>专家</w:t>
      </w:r>
      <w:r>
        <w:rPr>
          <w:rFonts w:ascii="仿宋_GB2312" w:eastAsia="仿宋_GB2312"/>
          <w:sz w:val="24"/>
          <w:szCs w:val="24"/>
        </w:rPr>
        <w:t>提出，在现有的能效设施基础上，考虑未来可能</w:t>
      </w:r>
      <w:r>
        <w:rPr>
          <w:rFonts w:hint="eastAsia" w:ascii="仿宋_GB2312" w:eastAsia="仿宋_GB2312"/>
          <w:sz w:val="24"/>
          <w:szCs w:val="24"/>
        </w:rPr>
        <w:t>出现</w:t>
      </w:r>
      <w:r>
        <w:rPr>
          <w:rFonts w:ascii="仿宋_GB2312" w:eastAsia="仿宋_GB2312"/>
          <w:sz w:val="24"/>
          <w:szCs w:val="24"/>
        </w:rPr>
        <w:t>的更高能效的设施</w:t>
      </w:r>
      <w:r>
        <w:rPr>
          <w:rFonts w:hint="eastAsia" w:ascii="仿宋_GB2312" w:eastAsia="仿宋_GB2312"/>
          <w:sz w:val="24"/>
          <w:szCs w:val="24"/>
        </w:rPr>
        <w:t>，</w:t>
      </w:r>
      <w:r>
        <w:rPr>
          <w:rFonts w:ascii="仿宋_GB2312" w:eastAsia="仿宋_GB2312"/>
          <w:sz w:val="24"/>
          <w:szCs w:val="24"/>
        </w:rPr>
        <w:t>故在评估办法里应不局限于现有的能效设施。</w:t>
      </w:r>
      <w:r>
        <w:rPr>
          <w:rFonts w:hint="eastAsia" w:ascii="仿宋_GB2312" w:eastAsia="仿宋_GB2312"/>
          <w:sz w:val="24"/>
          <w:szCs w:val="24"/>
        </w:rPr>
        <w:t>同时</w:t>
      </w:r>
      <w:r>
        <w:rPr>
          <w:rFonts w:ascii="仿宋_GB2312" w:eastAsia="仿宋_GB2312"/>
          <w:sz w:val="24"/>
          <w:szCs w:val="24"/>
        </w:rPr>
        <w:t>，</w:t>
      </w:r>
      <w:r>
        <w:rPr>
          <w:rFonts w:hint="eastAsia" w:ascii="仿宋_GB2312" w:eastAsia="仿宋_GB2312"/>
          <w:sz w:val="24"/>
          <w:szCs w:val="24"/>
        </w:rPr>
        <w:t>专家</w:t>
      </w:r>
      <w:r>
        <w:rPr>
          <w:rFonts w:ascii="仿宋_GB2312" w:eastAsia="仿宋_GB2312"/>
          <w:sz w:val="24"/>
          <w:szCs w:val="24"/>
        </w:rPr>
        <w:t>结合自身企业的运营经验提出了</w:t>
      </w:r>
      <w:r>
        <w:rPr>
          <w:rFonts w:hint="eastAsia" w:ascii="仿宋_GB2312" w:eastAsia="仿宋_GB2312"/>
          <w:sz w:val="24"/>
          <w:szCs w:val="24"/>
        </w:rPr>
        <w:t>哪种融霜</w:t>
      </w:r>
      <w:r>
        <w:rPr>
          <w:rFonts w:ascii="仿宋_GB2312" w:eastAsia="仿宋_GB2312"/>
          <w:sz w:val="24"/>
          <w:szCs w:val="24"/>
        </w:rPr>
        <w:t>方式</w:t>
      </w:r>
      <w:r>
        <w:rPr>
          <w:rFonts w:hint="eastAsia" w:ascii="仿宋_GB2312" w:eastAsia="仿宋_GB2312"/>
          <w:sz w:val="24"/>
          <w:szCs w:val="24"/>
        </w:rPr>
        <w:t>更节能</w:t>
      </w:r>
      <w:r>
        <w:rPr>
          <w:rFonts w:ascii="仿宋_GB2312" w:eastAsia="仿宋_GB2312"/>
          <w:sz w:val="24"/>
          <w:szCs w:val="24"/>
        </w:rPr>
        <w:t>、冷库门的采用等其他</w:t>
      </w:r>
      <w:r>
        <w:rPr>
          <w:rFonts w:hint="eastAsia" w:ascii="仿宋_GB2312" w:eastAsia="仿宋_GB2312"/>
          <w:sz w:val="24"/>
          <w:szCs w:val="24"/>
        </w:rPr>
        <w:t>宝贵</w:t>
      </w:r>
      <w:r>
        <w:rPr>
          <w:rFonts w:ascii="仿宋_GB2312" w:eastAsia="仿宋_GB2312"/>
          <w:sz w:val="24"/>
          <w:szCs w:val="24"/>
        </w:rPr>
        <w:t>意见。</w:t>
      </w:r>
    </w:p>
    <w:p>
      <w:pPr>
        <w:pStyle w:val="27"/>
        <w:spacing w:line="360" w:lineRule="auto"/>
        <w:ind w:firstLine="480"/>
        <w:rPr>
          <w:rFonts w:ascii="仿宋_GB2312" w:eastAsia="仿宋_GB2312"/>
          <w:sz w:val="24"/>
          <w:szCs w:val="24"/>
        </w:rPr>
      </w:pPr>
      <w:r>
        <w:rPr>
          <w:rFonts w:ascii="仿宋_GB2312" w:eastAsia="仿宋_GB2312"/>
          <w:sz w:val="24"/>
          <w:szCs w:val="24"/>
        </w:rPr>
        <w:t>2018</w:t>
      </w:r>
      <w:r>
        <w:rPr>
          <w:rFonts w:hint="eastAsia" w:ascii="仿宋_GB2312" w:eastAsia="仿宋_GB2312"/>
          <w:sz w:val="24"/>
          <w:szCs w:val="24"/>
        </w:rPr>
        <w:t>年02月0</w:t>
      </w:r>
      <w:r>
        <w:rPr>
          <w:rFonts w:ascii="仿宋_GB2312" w:eastAsia="仿宋_GB2312"/>
          <w:sz w:val="24"/>
          <w:szCs w:val="24"/>
        </w:rPr>
        <w:t>7</w:t>
      </w:r>
      <w:r>
        <w:rPr>
          <w:rFonts w:hint="eastAsia" w:ascii="仿宋_GB2312" w:eastAsia="仿宋_GB2312"/>
          <w:sz w:val="24"/>
          <w:szCs w:val="24"/>
        </w:rPr>
        <w:t>日上午，《冷库能效设施评估指标》行业标准起草组一行到太古冷链</w:t>
      </w:r>
      <w:r>
        <w:rPr>
          <w:rFonts w:ascii="仿宋_GB2312" w:eastAsia="仿宋_GB2312"/>
          <w:sz w:val="24"/>
          <w:szCs w:val="24"/>
        </w:rPr>
        <w:t>物流</w:t>
      </w:r>
      <w:r>
        <w:rPr>
          <w:rFonts w:hint="eastAsia" w:ascii="仿宋_GB2312" w:eastAsia="仿宋_GB2312"/>
          <w:sz w:val="24"/>
          <w:szCs w:val="24"/>
        </w:rPr>
        <w:t>（廊坊）公司进行</w:t>
      </w:r>
      <w:r>
        <w:rPr>
          <w:rFonts w:ascii="仿宋_GB2312" w:eastAsia="仿宋_GB2312"/>
          <w:sz w:val="24"/>
          <w:szCs w:val="24"/>
        </w:rPr>
        <w:t>调研。</w:t>
      </w:r>
      <w:r>
        <w:rPr>
          <w:rFonts w:hint="eastAsia" w:ascii="仿宋_GB2312" w:eastAsia="仿宋_GB2312"/>
          <w:sz w:val="24"/>
          <w:szCs w:val="24"/>
        </w:rPr>
        <w:t>专家就标准</w:t>
      </w:r>
      <w:r>
        <w:rPr>
          <w:rFonts w:ascii="仿宋_GB2312" w:eastAsia="仿宋_GB2312"/>
          <w:sz w:val="24"/>
          <w:szCs w:val="24"/>
        </w:rPr>
        <w:t>评估内容指出防辐射涂层</w:t>
      </w:r>
      <w:r>
        <w:rPr>
          <w:rFonts w:hint="eastAsia" w:ascii="仿宋_GB2312" w:eastAsia="仿宋_GB2312"/>
          <w:sz w:val="24"/>
          <w:szCs w:val="24"/>
        </w:rPr>
        <w:t>不</w:t>
      </w:r>
      <w:r>
        <w:rPr>
          <w:rFonts w:ascii="仿宋_GB2312" w:eastAsia="仿宋_GB2312"/>
          <w:sz w:val="24"/>
          <w:szCs w:val="24"/>
        </w:rPr>
        <w:t>属于设施，</w:t>
      </w:r>
      <w:r>
        <w:rPr>
          <w:rFonts w:hint="eastAsia" w:ascii="仿宋_GB2312" w:eastAsia="仿宋_GB2312"/>
          <w:sz w:val="24"/>
          <w:szCs w:val="24"/>
        </w:rPr>
        <w:t>仅</w:t>
      </w:r>
      <w:r>
        <w:rPr>
          <w:rFonts w:ascii="仿宋_GB2312" w:eastAsia="仿宋_GB2312"/>
          <w:sz w:val="24"/>
          <w:szCs w:val="24"/>
        </w:rPr>
        <w:t>是减少太阳辐射热的一种措施；单位面积热流量应容易测量；温度预警设施不属于能效设施</w:t>
      </w:r>
      <w:r>
        <w:rPr>
          <w:rFonts w:hint="eastAsia" w:ascii="仿宋_GB2312" w:eastAsia="仿宋_GB2312"/>
          <w:sz w:val="24"/>
          <w:szCs w:val="24"/>
        </w:rPr>
        <w:t>等问题</w:t>
      </w:r>
      <w:r>
        <w:rPr>
          <w:rFonts w:ascii="仿宋_GB2312" w:eastAsia="仿宋_GB2312"/>
          <w:sz w:val="24"/>
          <w:szCs w:val="24"/>
        </w:rPr>
        <w:t>，并提出是否区分地域及季节、不同类型</w:t>
      </w:r>
      <w:r>
        <w:rPr>
          <w:rFonts w:hint="eastAsia" w:ascii="仿宋_GB2312" w:eastAsia="仿宋_GB2312"/>
          <w:sz w:val="24"/>
          <w:szCs w:val="24"/>
        </w:rPr>
        <w:t>冷库</w:t>
      </w:r>
      <w:r>
        <w:rPr>
          <w:rFonts w:ascii="仿宋_GB2312" w:eastAsia="仿宋_GB2312"/>
          <w:sz w:val="24"/>
          <w:szCs w:val="24"/>
        </w:rPr>
        <w:t>（</w:t>
      </w:r>
      <w:r>
        <w:rPr>
          <w:rFonts w:hint="eastAsia" w:ascii="仿宋_GB2312" w:eastAsia="仿宋_GB2312"/>
          <w:sz w:val="24"/>
          <w:szCs w:val="24"/>
        </w:rPr>
        <w:t>仓储型</w:t>
      </w:r>
      <w:r>
        <w:rPr>
          <w:rFonts w:ascii="仿宋_GB2312" w:eastAsia="仿宋_GB2312"/>
          <w:sz w:val="24"/>
          <w:szCs w:val="24"/>
        </w:rPr>
        <w:t>、配送</w:t>
      </w:r>
      <w:r>
        <w:rPr>
          <w:rFonts w:hint="eastAsia" w:ascii="仿宋_GB2312" w:eastAsia="仿宋_GB2312"/>
          <w:sz w:val="24"/>
          <w:szCs w:val="24"/>
        </w:rPr>
        <w:t>型</w:t>
      </w:r>
      <w:r>
        <w:rPr>
          <w:rFonts w:ascii="仿宋_GB2312" w:eastAsia="仿宋_GB2312"/>
          <w:sz w:val="24"/>
          <w:szCs w:val="24"/>
        </w:rPr>
        <w:t>、中转</w:t>
      </w:r>
      <w:r>
        <w:rPr>
          <w:rFonts w:hint="eastAsia" w:ascii="仿宋_GB2312" w:eastAsia="仿宋_GB2312"/>
          <w:sz w:val="24"/>
          <w:szCs w:val="24"/>
        </w:rPr>
        <w:t>型</w:t>
      </w:r>
      <w:r>
        <w:rPr>
          <w:rFonts w:ascii="仿宋_GB2312" w:eastAsia="仿宋_GB2312"/>
          <w:sz w:val="24"/>
          <w:szCs w:val="24"/>
        </w:rPr>
        <w:t>）</w:t>
      </w:r>
      <w:r>
        <w:rPr>
          <w:rFonts w:hint="eastAsia" w:ascii="仿宋_GB2312" w:eastAsia="仿宋_GB2312"/>
          <w:sz w:val="24"/>
          <w:szCs w:val="24"/>
        </w:rPr>
        <w:t>的</w:t>
      </w:r>
      <w:r>
        <w:rPr>
          <w:rFonts w:ascii="仿宋_GB2312" w:eastAsia="仿宋_GB2312"/>
          <w:sz w:val="24"/>
          <w:szCs w:val="24"/>
        </w:rPr>
        <w:t>指标是否等同看待、不同冷库结构（</w:t>
      </w:r>
      <w:r>
        <w:rPr>
          <w:rFonts w:hint="eastAsia" w:ascii="仿宋_GB2312" w:eastAsia="仿宋_GB2312"/>
          <w:sz w:val="24"/>
          <w:szCs w:val="24"/>
        </w:rPr>
        <w:t>轻型钢结构库</w:t>
      </w:r>
      <w:r>
        <w:rPr>
          <w:rFonts w:ascii="仿宋_GB2312" w:eastAsia="仿宋_GB2312"/>
          <w:sz w:val="24"/>
          <w:szCs w:val="24"/>
        </w:rPr>
        <w:t>、土建库）</w:t>
      </w:r>
      <w:r>
        <w:rPr>
          <w:rFonts w:hint="eastAsia" w:ascii="仿宋_GB2312" w:eastAsia="仿宋_GB2312"/>
          <w:sz w:val="24"/>
          <w:szCs w:val="24"/>
        </w:rPr>
        <w:t>是</w:t>
      </w:r>
      <w:r>
        <w:rPr>
          <w:rFonts w:ascii="仿宋_GB2312" w:eastAsia="仿宋_GB2312"/>
          <w:sz w:val="24"/>
          <w:szCs w:val="24"/>
        </w:rPr>
        <w:t>否可以用相同指标来评价</w:t>
      </w:r>
      <w:r>
        <w:rPr>
          <w:rFonts w:hint="eastAsia" w:ascii="仿宋_GB2312" w:eastAsia="仿宋_GB2312"/>
          <w:sz w:val="24"/>
          <w:szCs w:val="24"/>
        </w:rPr>
        <w:t>等</w:t>
      </w:r>
      <w:r>
        <w:rPr>
          <w:rFonts w:ascii="仿宋_GB2312" w:eastAsia="仿宋_GB2312"/>
          <w:sz w:val="24"/>
          <w:szCs w:val="24"/>
        </w:rPr>
        <w:t>问题。</w:t>
      </w:r>
    </w:p>
    <w:p>
      <w:pPr>
        <w:pStyle w:val="27"/>
        <w:spacing w:line="360" w:lineRule="auto"/>
        <w:ind w:firstLine="480"/>
        <w:rPr>
          <w:rFonts w:hint="eastAsia" w:ascii="仿宋_GB2312" w:eastAsia="仿宋_GB2312"/>
          <w:sz w:val="24"/>
          <w:szCs w:val="24"/>
        </w:rPr>
      </w:pPr>
      <w:r>
        <w:rPr>
          <w:rFonts w:ascii="仿宋_GB2312" w:eastAsia="仿宋_GB2312"/>
          <w:sz w:val="24"/>
          <w:szCs w:val="24"/>
        </w:rPr>
        <w:t>2018</w:t>
      </w:r>
      <w:r>
        <w:rPr>
          <w:rFonts w:hint="eastAsia" w:ascii="仿宋_GB2312" w:eastAsia="仿宋_GB2312"/>
          <w:sz w:val="24"/>
          <w:szCs w:val="24"/>
        </w:rPr>
        <w:t>年02月0</w:t>
      </w:r>
      <w:r>
        <w:rPr>
          <w:rFonts w:ascii="仿宋_GB2312" w:eastAsia="仿宋_GB2312"/>
          <w:sz w:val="24"/>
          <w:szCs w:val="24"/>
        </w:rPr>
        <w:t>7</w:t>
      </w:r>
      <w:r>
        <w:rPr>
          <w:rFonts w:hint="eastAsia" w:ascii="仿宋_GB2312" w:eastAsia="仿宋_GB2312"/>
          <w:sz w:val="24"/>
          <w:szCs w:val="24"/>
        </w:rPr>
        <w:t>日下午，《冷库能效设施评估指标》行业标准起草组一行到廊坊</w:t>
      </w:r>
      <w:r>
        <w:rPr>
          <w:rFonts w:ascii="仿宋_GB2312" w:eastAsia="仿宋_GB2312"/>
          <w:sz w:val="24"/>
          <w:szCs w:val="24"/>
        </w:rPr>
        <w:t>京永物流有限公司</w:t>
      </w:r>
      <w:r>
        <w:rPr>
          <w:rFonts w:hint="eastAsia" w:ascii="仿宋_GB2312" w:eastAsia="仿宋_GB2312"/>
          <w:sz w:val="24"/>
          <w:szCs w:val="24"/>
        </w:rPr>
        <w:t>调研。专家指出</w:t>
      </w:r>
      <w:r>
        <w:rPr>
          <w:rFonts w:ascii="仿宋_GB2312" w:eastAsia="仿宋_GB2312"/>
          <w:sz w:val="24"/>
          <w:szCs w:val="24"/>
        </w:rPr>
        <w:t>温度记录设施</w:t>
      </w:r>
      <w:r>
        <w:rPr>
          <w:rFonts w:hint="eastAsia" w:ascii="仿宋_GB2312" w:eastAsia="仿宋_GB2312"/>
          <w:sz w:val="24"/>
          <w:szCs w:val="24"/>
        </w:rPr>
        <w:t>不应</w:t>
      </w:r>
      <w:r>
        <w:rPr>
          <w:rFonts w:ascii="仿宋_GB2312" w:eastAsia="仿宋_GB2312"/>
          <w:sz w:val="24"/>
          <w:szCs w:val="24"/>
        </w:rPr>
        <w:t>列入能效设施、热气融霜比电热融霜更为</w:t>
      </w:r>
      <w:r>
        <w:rPr>
          <w:rFonts w:hint="eastAsia" w:ascii="仿宋_GB2312" w:eastAsia="仿宋_GB2312"/>
          <w:sz w:val="24"/>
          <w:szCs w:val="24"/>
        </w:rPr>
        <w:t>节能等</w:t>
      </w:r>
      <w:r>
        <w:rPr>
          <w:rFonts w:ascii="仿宋_GB2312" w:eastAsia="仿宋_GB2312"/>
          <w:sz w:val="24"/>
          <w:szCs w:val="24"/>
        </w:rPr>
        <w:t>相关问题，并提出应考虑南北</w:t>
      </w:r>
      <w:r>
        <w:rPr>
          <w:rFonts w:hint="eastAsia" w:ascii="仿宋_GB2312" w:eastAsia="仿宋_GB2312"/>
          <w:sz w:val="24"/>
          <w:szCs w:val="24"/>
        </w:rPr>
        <w:t>地域</w:t>
      </w:r>
      <w:r>
        <w:rPr>
          <w:rFonts w:ascii="仿宋_GB2312" w:eastAsia="仿宋_GB2312"/>
          <w:sz w:val="24"/>
          <w:szCs w:val="24"/>
        </w:rPr>
        <w:t>差异、不同类型冷库能效不能同等评比的问题。</w:t>
      </w:r>
    </w:p>
    <w:p>
      <w:pPr>
        <w:pStyle w:val="27"/>
        <w:spacing w:line="360" w:lineRule="auto"/>
        <w:ind w:firstLine="480"/>
        <w:rPr>
          <w:rFonts w:ascii="仿宋_GB2312" w:eastAsia="仿宋_GB2312"/>
          <w:sz w:val="24"/>
          <w:szCs w:val="24"/>
        </w:rPr>
      </w:pPr>
      <w:r>
        <w:rPr>
          <w:rFonts w:hint="eastAsia" w:ascii="仿宋_GB2312" w:eastAsia="仿宋_GB2312"/>
          <w:sz w:val="24"/>
          <w:szCs w:val="24"/>
        </w:rPr>
        <w:t>综上</w:t>
      </w:r>
      <w:r>
        <w:rPr>
          <w:rFonts w:ascii="仿宋_GB2312" w:eastAsia="仿宋_GB2312"/>
          <w:sz w:val="24"/>
          <w:szCs w:val="24"/>
        </w:rPr>
        <w:t>，</w:t>
      </w:r>
      <w:r>
        <w:rPr>
          <w:rFonts w:hint="eastAsia" w:ascii="仿宋_GB2312" w:eastAsia="仿宋_GB2312"/>
          <w:sz w:val="24"/>
          <w:szCs w:val="24"/>
        </w:rPr>
        <w:t>标准</w:t>
      </w:r>
      <w:r>
        <w:rPr>
          <w:rFonts w:ascii="仿宋_GB2312" w:eastAsia="仿宋_GB2312"/>
          <w:sz w:val="24"/>
          <w:szCs w:val="24"/>
        </w:rPr>
        <w:t>起草组</w:t>
      </w:r>
      <w:r>
        <w:rPr>
          <w:rFonts w:hint="eastAsia" w:ascii="仿宋_GB2312" w:eastAsia="仿宋_GB2312"/>
          <w:sz w:val="24"/>
          <w:szCs w:val="24"/>
        </w:rPr>
        <w:t>通过调研</w:t>
      </w:r>
      <w:r>
        <w:rPr>
          <w:rFonts w:ascii="仿宋_GB2312" w:eastAsia="仿宋_GB2312"/>
          <w:sz w:val="24"/>
          <w:szCs w:val="24"/>
        </w:rPr>
        <w:t>冷库企业，</w:t>
      </w:r>
      <w:r>
        <w:rPr>
          <w:rFonts w:hint="eastAsia" w:ascii="仿宋_GB2312" w:eastAsia="仿宋_GB2312"/>
          <w:sz w:val="24"/>
          <w:szCs w:val="24"/>
        </w:rPr>
        <w:t>搜集</w:t>
      </w:r>
      <w:r>
        <w:rPr>
          <w:rFonts w:ascii="仿宋_GB2312" w:eastAsia="仿宋_GB2312"/>
          <w:sz w:val="24"/>
          <w:szCs w:val="24"/>
        </w:rPr>
        <w:t>了</w:t>
      </w:r>
      <w:r>
        <w:rPr>
          <w:rFonts w:hint="eastAsia" w:ascii="仿宋_GB2312" w:eastAsia="仿宋_GB2312"/>
          <w:sz w:val="24"/>
          <w:szCs w:val="24"/>
        </w:rPr>
        <w:t>冷库企业的</w:t>
      </w:r>
      <w:r>
        <w:rPr>
          <w:rFonts w:ascii="仿宋_GB2312" w:eastAsia="仿宋_GB2312"/>
          <w:sz w:val="24"/>
          <w:szCs w:val="24"/>
        </w:rPr>
        <w:t>宝贵</w:t>
      </w:r>
      <w:r>
        <w:rPr>
          <w:rFonts w:hint="eastAsia" w:ascii="仿宋_GB2312" w:eastAsia="仿宋_GB2312"/>
          <w:sz w:val="24"/>
          <w:szCs w:val="24"/>
        </w:rPr>
        <w:t>意见及</w:t>
      </w:r>
      <w:r>
        <w:rPr>
          <w:rFonts w:ascii="仿宋_GB2312" w:eastAsia="仿宋_GB2312"/>
          <w:sz w:val="24"/>
          <w:szCs w:val="24"/>
        </w:rPr>
        <w:t>建议，</w:t>
      </w:r>
      <w:r>
        <w:rPr>
          <w:rFonts w:hint="eastAsia" w:ascii="仿宋_GB2312" w:eastAsia="仿宋_GB2312"/>
          <w:sz w:val="24"/>
          <w:szCs w:val="24"/>
        </w:rPr>
        <w:t>就</w:t>
      </w:r>
      <w:r>
        <w:rPr>
          <w:rFonts w:ascii="仿宋_GB2312" w:eastAsia="仿宋_GB2312"/>
          <w:sz w:val="24"/>
          <w:szCs w:val="24"/>
        </w:rPr>
        <w:t>企业</w:t>
      </w:r>
      <w:r>
        <w:rPr>
          <w:rFonts w:hint="eastAsia" w:ascii="仿宋_GB2312" w:eastAsia="仿宋_GB2312"/>
          <w:sz w:val="24"/>
          <w:szCs w:val="24"/>
        </w:rPr>
        <w:t>对本</w:t>
      </w:r>
      <w:r>
        <w:rPr>
          <w:rFonts w:ascii="仿宋_GB2312" w:eastAsia="仿宋_GB2312"/>
          <w:sz w:val="24"/>
          <w:szCs w:val="24"/>
        </w:rPr>
        <w:t>标准提出的问题，</w:t>
      </w:r>
      <w:r>
        <w:rPr>
          <w:rFonts w:hint="eastAsia" w:ascii="仿宋_GB2312" w:eastAsia="仿宋_GB2312"/>
          <w:sz w:val="24"/>
          <w:szCs w:val="24"/>
        </w:rPr>
        <w:t>现场</w:t>
      </w:r>
      <w:r>
        <w:rPr>
          <w:rFonts w:ascii="仿宋_GB2312" w:eastAsia="仿宋_GB2312"/>
          <w:sz w:val="24"/>
          <w:szCs w:val="24"/>
        </w:rPr>
        <w:t>解答并进行了沟通</w:t>
      </w:r>
      <w:r>
        <w:rPr>
          <w:rFonts w:hint="eastAsia" w:ascii="仿宋_GB2312" w:eastAsia="仿宋_GB2312"/>
          <w:sz w:val="24"/>
          <w:szCs w:val="24"/>
        </w:rPr>
        <w:t>。针对</w:t>
      </w:r>
      <w:r>
        <w:rPr>
          <w:rFonts w:ascii="仿宋_GB2312" w:eastAsia="仿宋_GB2312"/>
          <w:sz w:val="24"/>
          <w:szCs w:val="24"/>
        </w:rPr>
        <w:t>冷库企业提出的宝贵意见</w:t>
      </w:r>
      <w:r>
        <w:rPr>
          <w:rFonts w:hint="eastAsia" w:ascii="仿宋_GB2312" w:eastAsia="仿宋_GB2312"/>
          <w:sz w:val="24"/>
          <w:szCs w:val="24"/>
        </w:rPr>
        <w:t>及</w:t>
      </w:r>
      <w:r>
        <w:rPr>
          <w:rFonts w:ascii="仿宋_GB2312" w:eastAsia="仿宋_GB2312"/>
          <w:sz w:val="24"/>
          <w:szCs w:val="24"/>
        </w:rPr>
        <w:t>建议，由</w:t>
      </w:r>
      <w:r>
        <w:rPr>
          <w:rFonts w:hint="eastAsia" w:ascii="仿宋_GB2312" w:eastAsia="仿宋_GB2312"/>
          <w:sz w:val="24"/>
          <w:szCs w:val="24"/>
        </w:rPr>
        <w:t>标准主</w:t>
      </w:r>
      <w:r>
        <w:rPr>
          <w:rFonts w:ascii="仿宋_GB2312" w:eastAsia="仿宋_GB2312"/>
          <w:sz w:val="24"/>
          <w:szCs w:val="24"/>
        </w:rPr>
        <w:t>起草单位中机十院</w:t>
      </w:r>
      <w:r>
        <w:rPr>
          <w:rFonts w:hint="eastAsia" w:ascii="仿宋_GB2312" w:eastAsia="仿宋_GB2312"/>
          <w:sz w:val="24"/>
          <w:szCs w:val="24"/>
        </w:rPr>
        <w:t>国际</w:t>
      </w:r>
      <w:r>
        <w:rPr>
          <w:rFonts w:ascii="仿宋_GB2312" w:eastAsia="仿宋_GB2312"/>
          <w:sz w:val="24"/>
          <w:szCs w:val="24"/>
        </w:rPr>
        <w:t>工程有限公司</w:t>
      </w:r>
      <w:r>
        <w:rPr>
          <w:rFonts w:hint="eastAsia" w:ascii="仿宋_GB2312" w:eastAsia="仿宋_GB2312"/>
          <w:sz w:val="24"/>
          <w:szCs w:val="24"/>
        </w:rPr>
        <w:t>对</w:t>
      </w:r>
      <w:r>
        <w:rPr>
          <w:rFonts w:ascii="仿宋_GB2312" w:eastAsia="仿宋_GB2312"/>
          <w:sz w:val="24"/>
          <w:szCs w:val="24"/>
        </w:rPr>
        <w:t>标准进行</w:t>
      </w:r>
      <w:r>
        <w:rPr>
          <w:rFonts w:hint="eastAsia" w:ascii="仿宋_GB2312" w:eastAsia="仿宋_GB2312"/>
          <w:sz w:val="24"/>
          <w:szCs w:val="24"/>
        </w:rPr>
        <w:t>了二次</w:t>
      </w:r>
      <w:r>
        <w:rPr>
          <w:rFonts w:ascii="仿宋_GB2312" w:eastAsia="仿宋_GB2312"/>
          <w:sz w:val="24"/>
          <w:szCs w:val="24"/>
        </w:rPr>
        <w:t>修订工作。</w:t>
      </w:r>
    </w:p>
    <w:p>
      <w:pPr>
        <w:pStyle w:val="27"/>
        <w:spacing w:line="360" w:lineRule="auto"/>
        <w:ind w:firstLine="0" w:firstLineChars="0"/>
        <w:rPr>
          <w:rFonts w:ascii="仿宋_GB2312" w:eastAsia="仿宋_GB2312"/>
          <w:b/>
          <w:color w:val="000000"/>
          <w:sz w:val="24"/>
          <w:szCs w:val="24"/>
        </w:rPr>
      </w:pPr>
      <w:r>
        <w:rPr>
          <w:rFonts w:hint="eastAsia" w:ascii="仿宋_GB2312" w:eastAsia="仿宋_GB2312"/>
          <w:b/>
          <w:color w:val="000000"/>
          <w:sz w:val="24"/>
          <w:szCs w:val="24"/>
          <w:lang w:val="en-US" w:eastAsia="zh-CN"/>
        </w:rPr>
        <w:t>四</w:t>
      </w:r>
      <w:r>
        <w:rPr>
          <w:rFonts w:hint="eastAsia" w:ascii="仿宋_GB2312" w:eastAsia="仿宋_GB2312"/>
          <w:b/>
          <w:color w:val="000000"/>
          <w:sz w:val="24"/>
          <w:szCs w:val="24"/>
        </w:rPr>
        <w:t>、</w:t>
      </w:r>
      <w:r>
        <w:rPr>
          <w:rFonts w:ascii="仿宋_GB2312" w:eastAsia="仿宋_GB2312"/>
          <w:b/>
          <w:color w:val="000000"/>
          <w:sz w:val="24"/>
          <w:szCs w:val="24"/>
        </w:rPr>
        <w:t>编制原则</w:t>
      </w:r>
    </w:p>
    <w:p>
      <w:pPr>
        <w:pStyle w:val="25"/>
        <w:ind w:firstLine="360" w:firstLineChars="150"/>
        <w:rPr>
          <w:rFonts w:ascii="仿宋_GB2312" w:hAnsi="Calibri" w:cs="黑体"/>
        </w:rPr>
      </w:pPr>
      <w:r>
        <w:rPr>
          <w:rFonts w:hint="eastAsia" w:ascii="仿宋_GB2312" w:hAnsi="Calibri" w:cs="黑体"/>
        </w:rPr>
        <w:t>本《</w:t>
      </w:r>
      <w:r>
        <w:rPr>
          <w:rFonts w:ascii="仿宋_GB2312" w:hAnsi="Calibri" w:cs="黑体"/>
        </w:rPr>
        <w:t>规范</w:t>
      </w:r>
      <w:r>
        <w:rPr>
          <w:rFonts w:hint="eastAsia" w:ascii="仿宋_GB2312" w:hAnsi="Calibri" w:cs="黑体"/>
        </w:rPr>
        <w:t>》</w:t>
      </w:r>
      <w:r>
        <w:rPr>
          <w:rFonts w:ascii="仿宋_GB2312" w:hAnsi="Calibri" w:cs="黑体"/>
        </w:rPr>
        <w:t>编制</w:t>
      </w:r>
      <w:r>
        <w:rPr>
          <w:rFonts w:hint="eastAsia" w:ascii="仿宋_GB2312" w:hAnsi="Calibri" w:cs="黑体"/>
        </w:rPr>
        <w:t>的</w:t>
      </w:r>
      <w:r>
        <w:rPr>
          <w:rFonts w:ascii="仿宋_GB2312" w:hAnsi="Calibri" w:cs="黑体"/>
        </w:rPr>
        <w:t>原则和依据</w:t>
      </w:r>
      <w:r>
        <w:rPr>
          <w:rFonts w:hint="eastAsia" w:ascii="仿宋_GB2312" w:hAnsi="Calibri" w:cs="黑体"/>
        </w:rPr>
        <w:t>主要有四</w:t>
      </w:r>
      <w:r>
        <w:rPr>
          <w:rFonts w:ascii="仿宋_GB2312" w:hAnsi="Calibri" w:cs="黑体"/>
        </w:rPr>
        <w:t>个方面</w:t>
      </w:r>
      <w:r>
        <w:rPr>
          <w:rFonts w:hint="eastAsia" w:ascii="仿宋_GB2312" w:hAnsi="Calibri" w:cs="黑体"/>
        </w:rPr>
        <w:t>：</w:t>
      </w:r>
    </w:p>
    <w:p>
      <w:pPr>
        <w:pStyle w:val="25"/>
        <w:ind w:left="540" w:firstLine="0" w:firstLineChars="0"/>
        <w:rPr>
          <w:rFonts w:ascii="仿宋_GB2312" w:hAnsi="Calibri" w:cs="黑体"/>
          <w:b/>
        </w:rPr>
      </w:pPr>
      <w:r>
        <w:rPr>
          <w:rFonts w:hint="eastAsia" w:ascii="仿宋_GB2312" w:hAnsi="Calibri" w:cs="黑体"/>
          <w:b/>
        </w:rPr>
        <w:t>1、与发达国家标准接轨原则</w:t>
      </w:r>
    </w:p>
    <w:p>
      <w:pPr>
        <w:pStyle w:val="25"/>
        <w:ind w:firstLine="480"/>
        <w:rPr>
          <w:rFonts w:ascii="仿宋_GB2312" w:hAnsi="Calibri" w:cs="黑体"/>
          <w:color w:val="FF0000"/>
        </w:rPr>
      </w:pPr>
      <w:r>
        <w:rPr>
          <w:rFonts w:hint="eastAsia" w:ascii="仿宋_GB2312" w:hAnsi="Calibri" w:cs="黑体"/>
        </w:rPr>
        <w:t>美国及欧洲均已建成冷库能效在线评估系统，且在冷库能效标准方面已有相关可以采纳的规定，许多规定表现在政府法令、地方规定或通知等。本标准在企业可接受的范围内，主要从制冷系统设施、围护结构设施及辅助设施等方面入手，对冷库能效设施等级进行评估。</w:t>
      </w:r>
    </w:p>
    <w:p>
      <w:pPr>
        <w:pStyle w:val="25"/>
        <w:ind w:left="540" w:firstLine="0" w:firstLineChars="0"/>
        <w:rPr>
          <w:rFonts w:ascii="仿宋_GB2312" w:hAnsi="Calibri" w:cs="黑体"/>
          <w:b/>
        </w:rPr>
      </w:pPr>
      <w:r>
        <w:rPr>
          <w:rFonts w:hint="eastAsia" w:ascii="仿宋_GB2312" w:hAnsi="Calibri" w:cs="黑体"/>
          <w:b/>
        </w:rPr>
        <w:t>2、从我国实际出发，促进飞跃发展的原则</w:t>
      </w:r>
    </w:p>
    <w:p>
      <w:pPr>
        <w:pStyle w:val="25"/>
        <w:ind w:firstLine="240" w:firstLineChars="100"/>
        <w:rPr>
          <w:rFonts w:ascii="仿宋_GB2312" w:hAnsi="Calibri" w:cs="黑体"/>
        </w:rPr>
      </w:pPr>
      <w:r>
        <w:rPr>
          <w:rFonts w:hint="eastAsia" w:ascii="仿宋_GB2312" w:hAnsi="Calibri" w:cs="黑体"/>
        </w:rPr>
        <w:t xml:space="preserve">  在标准起草过程中，多次到食品冷库</w:t>
      </w:r>
      <w:r>
        <w:rPr>
          <w:rFonts w:ascii="仿宋_GB2312" w:hAnsi="Calibri" w:cs="黑体"/>
        </w:rPr>
        <w:t>企业</w:t>
      </w:r>
      <w:r>
        <w:rPr>
          <w:rFonts w:hint="eastAsia" w:ascii="仿宋_GB2312" w:hAnsi="Calibri" w:cs="黑体"/>
        </w:rPr>
        <w:t>、物流冷库企业进行调研，充分听取企业意见，在内容上认真研究企业食品冷库设施的实际运行情况，充分反映企业实际诉求，做到标准为企业服务，为推动企业发展服务。</w:t>
      </w:r>
    </w:p>
    <w:p>
      <w:pPr>
        <w:pStyle w:val="25"/>
        <w:ind w:left="540" w:firstLine="0" w:firstLineChars="0"/>
        <w:rPr>
          <w:rFonts w:ascii="仿宋_GB2312" w:hAnsi="Calibri" w:cs="黑体"/>
          <w:b/>
        </w:rPr>
      </w:pPr>
      <w:r>
        <w:rPr>
          <w:rFonts w:hint="eastAsia" w:ascii="仿宋_GB2312" w:hAnsi="Calibri" w:cs="黑体"/>
          <w:b/>
        </w:rPr>
        <w:t>3、与其他标准的协调一致原则</w:t>
      </w:r>
    </w:p>
    <w:p>
      <w:pPr>
        <w:pStyle w:val="25"/>
        <w:ind w:firstLine="240" w:firstLineChars="100"/>
        <w:rPr>
          <w:rFonts w:ascii="仿宋_GB2312" w:hAnsi="Calibri" w:cs="黑体"/>
          <w:color w:val="FF0000"/>
        </w:rPr>
      </w:pPr>
      <w:r>
        <w:rPr>
          <w:rFonts w:hint="eastAsia" w:ascii="仿宋_GB2312" w:hAnsi="Calibri" w:cs="黑体"/>
        </w:rPr>
        <w:t xml:space="preserve">  本标准在起草过程中，充分调研国内现有物流、储存、食品、制冷、冷库、建筑和电气等国家、行业及地方标准，在内容、术语上尽量与其它标准保持协调一致，并考虑将优秀的行业或地方标准采纳到新编制的标准中。</w:t>
      </w:r>
    </w:p>
    <w:p>
      <w:pPr>
        <w:pStyle w:val="25"/>
        <w:ind w:left="540" w:firstLine="0" w:firstLineChars="0"/>
        <w:rPr>
          <w:rFonts w:ascii="仿宋_GB2312" w:hAnsi="Calibri" w:cs="黑体"/>
          <w:b/>
        </w:rPr>
      </w:pPr>
      <w:r>
        <w:rPr>
          <w:rFonts w:hint="eastAsia" w:ascii="仿宋_GB2312"/>
          <w:b/>
        </w:rPr>
        <w:t>4、制定</w:t>
      </w:r>
      <w:r>
        <w:rPr>
          <w:rFonts w:hint="eastAsia" w:ascii="仿宋_GB2312" w:hAnsi="Calibri" w:cs="黑体"/>
          <w:b/>
          <w:lang w:eastAsia="zh-CN"/>
        </w:rPr>
        <w:t>食品冷库能效设施等级评估指标</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目前国内现有的标准以“食品”标准为主体，仅涉及冷库的建设、制冷设备的选择、冷库使用的管理、冷库物流管理及操作节能规范等，还未有冷库能效相关规范。本标准制定了</w:t>
      </w:r>
      <w:r>
        <w:rPr>
          <w:rFonts w:hint="eastAsia" w:ascii="仿宋_GB2312" w:eastAsia="仿宋_GB2312"/>
          <w:sz w:val="24"/>
          <w:szCs w:val="24"/>
          <w:lang w:eastAsia="zh-CN"/>
        </w:rPr>
        <w:t>食品冷库能效设施等级评估指标</w:t>
      </w:r>
      <w:r>
        <w:rPr>
          <w:rFonts w:hint="eastAsia" w:ascii="仿宋_GB2312" w:eastAsia="仿宋_GB2312"/>
          <w:sz w:val="24"/>
          <w:szCs w:val="24"/>
        </w:rPr>
        <w:t>，能够科学、准确的评估冷库的能效设施情况及能效设施对节能效果的影响情况。</w:t>
      </w:r>
    </w:p>
    <w:p>
      <w:pPr>
        <w:pStyle w:val="27"/>
        <w:spacing w:line="360" w:lineRule="auto"/>
        <w:ind w:firstLine="0" w:firstLineChars="0"/>
        <w:rPr>
          <w:rFonts w:ascii="仿宋_GB2312" w:eastAsia="仿宋_GB2312"/>
          <w:b/>
          <w:color w:val="000000"/>
          <w:sz w:val="24"/>
          <w:szCs w:val="24"/>
        </w:rPr>
      </w:pPr>
      <w:r>
        <w:rPr>
          <w:rFonts w:hint="eastAsia" w:ascii="仿宋_GB2312" w:eastAsia="仿宋_GB2312"/>
          <w:b/>
          <w:color w:val="000000"/>
          <w:sz w:val="24"/>
          <w:szCs w:val="24"/>
          <w:lang w:val="en-US" w:eastAsia="zh-CN"/>
        </w:rPr>
        <w:t>五</w:t>
      </w:r>
      <w:r>
        <w:rPr>
          <w:rFonts w:hint="eastAsia" w:ascii="仿宋_GB2312" w:eastAsia="仿宋_GB2312"/>
          <w:b/>
          <w:color w:val="000000"/>
          <w:sz w:val="24"/>
          <w:szCs w:val="24"/>
        </w:rPr>
        <w:t>、主要</w:t>
      </w:r>
      <w:r>
        <w:rPr>
          <w:rFonts w:ascii="仿宋_GB2312" w:eastAsia="仿宋_GB2312"/>
          <w:b/>
          <w:color w:val="000000"/>
          <w:sz w:val="24"/>
          <w:szCs w:val="24"/>
        </w:rPr>
        <w:t>内容</w:t>
      </w:r>
    </w:p>
    <w:p>
      <w:pPr>
        <w:spacing w:line="360" w:lineRule="auto"/>
        <w:ind w:firstLine="482" w:firstLineChars="200"/>
        <w:rPr>
          <w:rFonts w:ascii="仿宋_GB2312" w:eastAsia="仿宋_GB2312"/>
          <w:b/>
          <w:sz w:val="24"/>
          <w:szCs w:val="24"/>
        </w:rPr>
      </w:pPr>
      <w:r>
        <w:rPr>
          <w:rFonts w:hint="eastAsia" w:ascii="仿宋_GB2312" w:eastAsia="仿宋_GB2312"/>
          <w:b/>
          <w:sz w:val="24"/>
          <w:szCs w:val="24"/>
        </w:rPr>
        <w:t>1、标准</w:t>
      </w:r>
      <w:r>
        <w:rPr>
          <w:rFonts w:ascii="仿宋_GB2312" w:eastAsia="仿宋_GB2312"/>
          <w:b/>
          <w:sz w:val="24"/>
          <w:szCs w:val="24"/>
        </w:rPr>
        <w:t>内容</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w:t>
      </w:r>
      <w:r>
        <w:rPr>
          <w:rFonts w:hint="eastAsia" w:ascii="仿宋_GB2312" w:eastAsia="仿宋_GB2312"/>
          <w:sz w:val="24"/>
          <w:szCs w:val="24"/>
          <w:lang w:eastAsia="zh-CN"/>
        </w:rPr>
        <w:t>食品冷库能效设施评估指标</w:t>
      </w:r>
      <w:r>
        <w:rPr>
          <w:rFonts w:hint="eastAsia" w:ascii="仿宋_GB2312" w:eastAsia="仿宋_GB2312"/>
          <w:sz w:val="24"/>
          <w:szCs w:val="24"/>
        </w:rPr>
        <w:t>》行业标准，主要内容包括：</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（1）封面</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（2）目次</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（3）前言</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（4）标准主要内容。</w:t>
      </w:r>
    </w:p>
    <w:p>
      <w:pPr>
        <w:spacing w:line="360" w:lineRule="auto"/>
        <w:ind w:firstLine="482" w:firstLineChars="200"/>
        <w:rPr>
          <w:rFonts w:ascii="仿宋_GB2312" w:eastAsia="仿宋_GB2312"/>
          <w:b/>
          <w:sz w:val="24"/>
          <w:szCs w:val="24"/>
        </w:rPr>
      </w:pPr>
      <w:r>
        <w:rPr>
          <w:rFonts w:hint="eastAsia" w:ascii="仿宋_GB2312" w:eastAsia="仿宋_GB2312"/>
          <w:b/>
          <w:sz w:val="24"/>
          <w:szCs w:val="24"/>
        </w:rPr>
        <w:t>2、</w:t>
      </w:r>
      <w:r>
        <w:rPr>
          <w:rFonts w:ascii="仿宋_GB2312" w:eastAsia="仿宋_GB2312"/>
          <w:b/>
          <w:sz w:val="24"/>
          <w:szCs w:val="24"/>
        </w:rPr>
        <w:t>主要内容说明</w:t>
      </w:r>
    </w:p>
    <w:p>
      <w:pPr>
        <w:spacing w:line="360" w:lineRule="auto"/>
        <w:ind w:firstLine="480" w:firstLineChars="200"/>
        <w:rPr>
          <w:rFonts w:ascii="仿宋_GB2312"/>
        </w:rPr>
      </w:pPr>
      <w:r>
        <w:rPr>
          <w:rFonts w:hint="eastAsia" w:ascii="仿宋_GB2312" w:eastAsia="仿宋_GB2312"/>
          <w:sz w:val="24"/>
          <w:szCs w:val="24"/>
        </w:rPr>
        <w:t>（1）</w:t>
      </w:r>
      <w:r>
        <w:rPr>
          <w:rFonts w:ascii="仿宋_GB2312" w:eastAsia="仿宋_GB2312"/>
          <w:sz w:val="24"/>
          <w:szCs w:val="24"/>
        </w:rPr>
        <w:t>本</w:t>
      </w:r>
      <w:r>
        <w:rPr>
          <w:rFonts w:hint="eastAsia" w:ascii="仿宋_GB2312" w:eastAsia="仿宋_GB2312"/>
          <w:sz w:val="24"/>
          <w:szCs w:val="24"/>
        </w:rPr>
        <w:t>标准</w:t>
      </w:r>
      <w:r>
        <w:rPr>
          <w:rFonts w:ascii="仿宋_GB2312" w:eastAsia="仿宋_GB2312"/>
          <w:sz w:val="24"/>
          <w:szCs w:val="24"/>
        </w:rPr>
        <w:t>规定</w:t>
      </w:r>
      <w:r>
        <w:rPr>
          <w:rFonts w:hint="eastAsia" w:ascii="仿宋_GB2312" w:eastAsia="仿宋_GB2312"/>
          <w:sz w:val="24"/>
          <w:szCs w:val="24"/>
        </w:rPr>
        <w:t>了新、改、扩建</w:t>
      </w:r>
      <w:r>
        <w:rPr>
          <w:rFonts w:hint="eastAsia" w:ascii="仿宋_GB2312" w:eastAsia="仿宋_GB2312"/>
          <w:sz w:val="24"/>
          <w:szCs w:val="24"/>
          <w:lang w:eastAsia="zh-CN"/>
        </w:rPr>
        <w:t>食品冷库能效设施等级评估指标</w:t>
      </w:r>
      <w:r>
        <w:rPr>
          <w:rFonts w:ascii="仿宋_GB2312" w:eastAsia="仿宋_GB2312"/>
          <w:sz w:val="24"/>
          <w:szCs w:val="24"/>
        </w:rPr>
        <w:t>。</w:t>
      </w:r>
    </w:p>
    <w:p>
      <w:pPr>
        <w:spacing w:line="360" w:lineRule="auto"/>
        <w:ind w:firstLine="420" w:firstLineChars="200"/>
        <w:rPr>
          <w:rFonts w:hint="eastAsia" w:ascii="仿宋_GB2312" w:eastAsia="仿宋_GB2312"/>
          <w:sz w:val="24"/>
          <w:szCs w:val="24"/>
        </w:rPr>
      </w:pPr>
      <w:r>
        <w:rPr>
          <w:rFonts w:hint="eastAsia" w:ascii="仿宋_GB2312"/>
        </w:rPr>
        <w:t xml:space="preserve">  </w:t>
      </w:r>
      <w:r>
        <w:rPr>
          <w:rFonts w:ascii="仿宋_GB2312" w:eastAsia="仿宋_GB2312"/>
          <w:sz w:val="24"/>
          <w:szCs w:val="24"/>
        </w:rPr>
        <w:t>本</w:t>
      </w:r>
      <w:r>
        <w:rPr>
          <w:rFonts w:hint="eastAsia" w:ascii="仿宋_GB2312" w:eastAsia="仿宋_GB2312"/>
          <w:sz w:val="24"/>
          <w:szCs w:val="24"/>
        </w:rPr>
        <w:t>标准</w:t>
      </w:r>
      <w:r>
        <w:rPr>
          <w:rFonts w:ascii="仿宋_GB2312" w:eastAsia="仿宋_GB2312"/>
          <w:sz w:val="24"/>
          <w:szCs w:val="24"/>
        </w:rPr>
        <w:t>适用于</w:t>
      </w:r>
      <w:r>
        <w:rPr>
          <w:rFonts w:hint="eastAsia" w:ascii="仿宋_GB2312" w:eastAsia="仿宋_GB2312"/>
          <w:sz w:val="24"/>
          <w:szCs w:val="24"/>
        </w:rPr>
        <w:t>公称容积在5000m3以上冷库，不适用于山洞冷库及气调库</w:t>
      </w:r>
      <w:r>
        <w:rPr>
          <w:rFonts w:ascii="仿宋_GB2312" w:eastAsia="仿宋_GB2312"/>
          <w:sz w:val="24"/>
          <w:szCs w:val="24"/>
        </w:rPr>
        <w:t>。</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（2）能效</w:t>
      </w:r>
      <w:r>
        <w:rPr>
          <w:rFonts w:ascii="仿宋_GB2312" w:eastAsia="仿宋_GB2312"/>
          <w:sz w:val="24"/>
          <w:szCs w:val="24"/>
        </w:rPr>
        <w:t>设施等级评估</w:t>
      </w:r>
    </w:p>
    <w:p>
      <w:pPr>
        <w:spacing w:line="360" w:lineRule="auto"/>
        <w:ind w:firstLine="960" w:firstLineChars="400"/>
        <w:rPr>
          <w:rFonts w:ascii="仿宋_GB2312" w:eastAsia="仿宋_GB2312"/>
          <w:sz w:val="24"/>
          <w:szCs w:val="24"/>
        </w:rPr>
      </w:pPr>
      <w:r>
        <w:rPr>
          <w:rFonts w:hint="eastAsia" w:ascii="仿宋_GB2312" w:eastAsia="仿宋_GB2312"/>
          <w:sz w:val="24"/>
          <w:szCs w:val="24"/>
        </w:rPr>
        <w:t>1）冷库温度达标是冷库能效设施等级评估的前提条件。企业应配备可</w:t>
      </w:r>
    </w:p>
    <w:p>
      <w:pPr>
        <w:spacing w:line="360" w:lineRule="auto"/>
        <w:ind w:firstLine="1320" w:firstLineChars="550"/>
        <w:rPr>
          <w:rFonts w:ascii="仿宋_GB2312" w:eastAsia="仿宋_GB2312"/>
          <w:sz w:val="24"/>
          <w:szCs w:val="24"/>
        </w:rPr>
      </w:pPr>
      <w:r>
        <w:rPr>
          <w:rFonts w:hint="eastAsia" w:ascii="仿宋_GB2312" w:eastAsia="仿宋_GB2312"/>
          <w:sz w:val="24"/>
          <w:szCs w:val="24"/>
        </w:rPr>
        <w:t>追溯且可连续记录的温度记录设施，降低贮存货物的损耗，为货物</w:t>
      </w:r>
    </w:p>
    <w:p>
      <w:pPr>
        <w:spacing w:line="360" w:lineRule="auto"/>
        <w:ind w:firstLine="1320" w:firstLineChars="550"/>
        <w:rPr>
          <w:rFonts w:ascii="仿宋_GB2312" w:eastAsia="仿宋_GB2312"/>
          <w:sz w:val="24"/>
          <w:szCs w:val="24"/>
        </w:rPr>
      </w:pPr>
      <w:r>
        <w:rPr>
          <w:rFonts w:hint="eastAsia" w:ascii="仿宋_GB2312" w:eastAsia="仿宋_GB2312"/>
          <w:sz w:val="24"/>
          <w:szCs w:val="24"/>
        </w:rPr>
        <w:t>的品质及安全提供保障，提升自身服务水平。</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 xml:space="preserve">    2）在温度达标的前提下，对于设置了能效设施并有效运转的冷库，应</w:t>
      </w:r>
    </w:p>
    <w:p>
      <w:pPr>
        <w:spacing w:line="360" w:lineRule="auto"/>
        <w:ind w:firstLine="1320" w:firstLineChars="550"/>
        <w:rPr>
          <w:rFonts w:ascii="仿宋_GB2312" w:eastAsia="仿宋_GB2312"/>
          <w:sz w:val="24"/>
          <w:szCs w:val="24"/>
        </w:rPr>
      </w:pPr>
      <w:r>
        <w:rPr>
          <w:rFonts w:hint="eastAsia" w:ascii="仿宋_GB2312" w:eastAsia="仿宋_GB2312"/>
          <w:sz w:val="24"/>
          <w:szCs w:val="24"/>
        </w:rPr>
        <w:t xml:space="preserve">按照附录A </w:t>
      </w:r>
      <w:r>
        <w:rPr>
          <w:rFonts w:hint="eastAsia" w:ascii="仿宋_GB2312" w:eastAsia="仿宋_GB2312"/>
          <w:sz w:val="24"/>
          <w:szCs w:val="24"/>
          <w:lang w:eastAsia="zh-CN"/>
        </w:rPr>
        <w:t>食品冷库能效设施等级评估指标</w:t>
      </w:r>
      <w:r>
        <w:rPr>
          <w:rFonts w:hint="eastAsia" w:ascii="仿宋_GB2312" w:eastAsia="仿宋_GB2312"/>
          <w:sz w:val="24"/>
          <w:szCs w:val="24"/>
        </w:rPr>
        <w:t>及分数计算办法，取综合得</w:t>
      </w:r>
    </w:p>
    <w:p>
      <w:pPr>
        <w:spacing w:line="360" w:lineRule="auto"/>
        <w:ind w:firstLine="1320" w:firstLineChars="550"/>
        <w:rPr>
          <w:rFonts w:ascii="仿宋_GB2312" w:eastAsia="仿宋_GB2312"/>
          <w:sz w:val="24"/>
          <w:szCs w:val="24"/>
        </w:rPr>
      </w:pPr>
      <w:r>
        <w:rPr>
          <w:rFonts w:hint="eastAsia" w:ascii="仿宋_GB2312" w:eastAsia="仿宋_GB2312"/>
          <w:sz w:val="24"/>
          <w:szCs w:val="24"/>
        </w:rPr>
        <w:t>分E值进行冷库能效设施等级的确定。冷库能效设施等级见表4.1。</w:t>
      </w:r>
    </w:p>
    <w:p>
      <w:pPr>
        <w:spacing w:line="360" w:lineRule="auto"/>
        <w:ind w:firstLine="2835" w:firstLineChars="1350"/>
      </w:pPr>
      <w:r>
        <w:rPr>
          <w:rFonts w:hint="eastAsia"/>
        </w:rPr>
        <w:t>表4.1 冷库能效设施等级</w:t>
      </w:r>
    </w:p>
    <w:tbl>
      <w:tblPr>
        <w:tblStyle w:val="14"/>
        <w:tblW w:w="8865" w:type="dxa"/>
        <w:jc w:val="center"/>
        <w:tblInd w:w="0" w:type="dxa"/>
        <w:tblLayout w:type="fixed"/>
        <w:tblCellMar>
          <w:top w:w="0" w:type="dxa"/>
          <w:left w:w="108" w:type="dxa"/>
          <w:bottom w:w="0" w:type="dxa"/>
          <w:right w:w="108" w:type="dxa"/>
        </w:tblCellMar>
      </w:tblPr>
      <w:tblGrid>
        <w:gridCol w:w="2203"/>
        <w:gridCol w:w="992"/>
        <w:gridCol w:w="1418"/>
        <w:gridCol w:w="1417"/>
        <w:gridCol w:w="1418"/>
        <w:gridCol w:w="1417"/>
      </w:tblGrid>
      <w:tr>
        <w:tblPrEx>
          <w:tblLayout w:type="fixed"/>
          <w:tblCellMar>
            <w:top w:w="0" w:type="dxa"/>
            <w:left w:w="108" w:type="dxa"/>
            <w:bottom w:w="0" w:type="dxa"/>
            <w:right w:w="108" w:type="dxa"/>
          </w:tblCellMar>
        </w:tblPrEx>
        <w:trPr>
          <w:trHeight w:val="439" w:hRule="atLeast"/>
          <w:jc w:val="center"/>
        </w:trPr>
        <w:tc>
          <w:tcPr>
            <w:tcW w:w="2203" w:type="dxa"/>
            <w:tcBorders>
              <w:top w:val="single" w:color="auto" w:sz="8" w:space="0"/>
              <w:left w:val="single" w:color="auto" w:sz="8" w:space="0"/>
              <w:bottom w:val="single" w:color="auto" w:sz="4"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冷库能效设施等级</w:t>
            </w:r>
          </w:p>
        </w:tc>
        <w:tc>
          <w:tcPr>
            <w:tcW w:w="992"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一级</w:t>
            </w:r>
          </w:p>
        </w:tc>
        <w:tc>
          <w:tcPr>
            <w:tcW w:w="1418"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二级</w:t>
            </w:r>
          </w:p>
        </w:tc>
        <w:tc>
          <w:tcPr>
            <w:tcW w:w="1417"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三级</w:t>
            </w:r>
          </w:p>
        </w:tc>
        <w:tc>
          <w:tcPr>
            <w:tcW w:w="1418"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四级</w:t>
            </w:r>
          </w:p>
        </w:tc>
        <w:tc>
          <w:tcPr>
            <w:tcW w:w="1417" w:type="dxa"/>
            <w:tcBorders>
              <w:top w:val="single" w:color="auto" w:sz="8" w:space="0"/>
              <w:left w:val="nil"/>
              <w:bottom w:val="single" w:color="auto" w:sz="4" w:space="0"/>
              <w:right w:val="single" w:color="auto" w:sz="8" w:space="0"/>
            </w:tcBorders>
            <w:vAlign w:val="center"/>
          </w:tcPr>
          <w:p>
            <w:pPr>
              <w:widowControl/>
              <w:adjustRightInd w:val="0"/>
              <w:snapToGrid w:val="0"/>
              <w:jc w:val="center"/>
              <w:rPr>
                <w:rFonts w:hint="eastAsia" w:ascii="宋体"/>
                <w:kern w:val="0"/>
              </w:rPr>
            </w:pPr>
            <w:r>
              <w:rPr>
                <w:rFonts w:hint="eastAsia" w:ascii="宋体"/>
                <w:kern w:val="0"/>
              </w:rPr>
              <w:t>五级</w:t>
            </w:r>
          </w:p>
        </w:tc>
      </w:tr>
      <w:tr>
        <w:tblPrEx>
          <w:tblLayout w:type="fixed"/>
          <w:tblCellMar>
            <w:top w:w="0" w:type="dxa"/>
            <w:left w:w="108" w:type="dxa"/>
            <w:bottom w:w="0" w:type="dxa"/>
            <w:right w:w="108" w:type="dxa"/>
          </w:tblCellMar>
        </w:tblPrEx>
        <w:trPr>
          <w:trHeight w:val="439" w:hRule="atLeast"/>
          <w:jc w:val="center"/>
        </w:trPr>
        <w:tc>
          <w:tcPr>
            <w:tcW w:w="2203" w:type="dxa"/>
            <w:tcBorders>
              <w:top w:val="nil"/>
              <w:left w:val="single" w:color="auto" w:sz="8" w:space="0"/>
              <w:bottom w:val="single" w:color="auto" w:sz="8"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综合得分E</w:t>
            </w:r>
          </w:p>
        </w:tc>
        <w:tc>
          <w:tcPr>
            <w:tcW w:w="992" w:type="dxa"/>
            <w:tcBorders>
              <w:top w:val="nil"/>
              <w:left w:val="nil"/>
              <w:bottom w:val="single" w:color="auto" w:sz="8"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E≥90</w:t>
            </w:r>
          </w:p>
        </w:tc>
        <w:tc>
          <w:tcPr>
            <w:tcW w:w="1418" w:type="dxa"/>
            <w:tcBorders>
              <w:top w:val="nil"/>
              <w:left w:val="nil"/>
              <w:bottom w:val="single" w:color="auto" w:sz="8"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80≤E＜90</w:t>
            </w:r>
          </w:p>
        </w:tc>
        <w:tc>
          <w:tcPr>
            <w:tcW w:w="1417" w:type="dxa"/>
            <w:tcBorders>
              <w:top w:val="nil"/>
              <w:left w:val="nil"/>
              <w:bottom w:val="single" w:color="auto" w:sz="8"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70≤E＜80</w:t>
            </w:r>
          </w:p>
        </w:tc>
        <w:tc>
          <w:tcPr>
            <w:tcW w:w="1418" w:type="dxa"/>
            <w:tcBorders>
              <w:top w:val="nil"/>
              <w:left w:val="nil"/>
              <w:bottom w:val="single" w:color="auto" w:sz="8" w:space="0"/>
              <w:right w:val="single" w:color="auto" w:sz="4" w:space="0"/>
            </w:tcBorders>
            <w:vAlign w:val="center"/>
          </w:tcPr>
          <w:p>
            <w:pPr>
              <w:widowControl/>
              <w:adjustRightInd w:val="0"/>
              <w:snapToGrid w:val="0"/>
              <w:jc w:val="center"/>
              <w:rPr>
                <w:rFonts w:hint="eastAsia" w:ascii="宋体"/>
                <w:kern w:val="0"/>
              </w:rPr>
            </w:pPr>
            <w:r>
              <w:rPr>
                <w:rFonts w:hint="eastAsia" w:ascii="宋体"/>
                <w:kern w:val="0"/>
              </w:rPr>
              <w:t>65≤E＜70</w:t>
            </w:r>
          </w:p>
        </w:tc>
        <w:tc>
          <w:tcPr>
            <w:tcW w:w="1417" w:type="dxa"/>
            <w:tcBorders>
              <w:top w:val="nil"/>
              <w:left w:val="nil"/>
              <w:bottom w:val="single" w:color="auto" w:sz="8" w:space="0"/>
              <w:right w:val="single" w:color="auto" w:sz="8" w:space="0"/>
            </w:tcBorders>
            <w:vAlign w:val="center"/>
          </w:tcPr>
          <w:p>
            <w:pPr>
              <w:widowControl/>
              <w:adjustRightInd w:val="0"/>
              <w:snapToGrid w:val="0"/>
              <w:jc w:val="center"/>
              <w:rPr>
                <w:rFonts w:hint="eastAsia" w:ascii="宋体"/>
                <w:kern w:val="0"/>
              </w:rPr>
            </w:pPr>
            <w:r>
              <w:rPr>
                <w:rFonts w:hint="eastAsia" w:ascii="宋体"/>
                <w:kern w:val="0"/>
              </w:rPr>
              <w:t>60≤E＜65</w:t>
            </w:r>
          </w:p>
        </w:tc>
      </w:tr>
    </w:tbl>
    <w:p>
      <w:pPr>
        <w:spacing w:line="360" w:lineRule="auto"/>
        <w:rPr>
          <w:rFonts w:ascii="仿宋_GB2312" w:eastAsia="仿宋_GB2312"/>
          <w:sz w:val="24"/>
          <w:szCs w:val="24"/>
        </w:rPr>
      </w:pPr>
    </w:p>
    <w:p>
      <w:pPr>
        <w:spacing w:line="360" w:lineRule="auto"/>
        <w:ind w:firstLine="480" w:firstLineChars="200"/>
        <w:rPr>
          <w:rFonts w:ascii="仿宋_GB2312" w:eastAsia="仿宋_GB2312"/>
          <w:sz w:val="24"/>
          <w:szCs w:val="24"/>
        </w:rPr>
      </w:pPr>
      <w:r>
        <w:rPr>
          <w:rFonts w:hint="eastAsia" w:ascii="仿宋_GB2312" w:eastAsia="仿宋_GB2312"/>
          <w:sz w:val="24"/>
          <w:szCs w:val="24"/>
        </w:rPr>
        <w:t>（</w:t>
      </w:r>
      <w:r>
        <w:rPr>
          <w:rFonts w:ascii="仿宋_GB2312" w:eastAsia="仿宋_GB2312"/>
          <w:sz w:val="24"/>
          <w:szCs w:val="24"/>
        </w:rPr>
        <w:t>3</w:t>
      </w:r>
      <w:r>
        <w:rPr>
          <w:rFonts w:hint="eastAsia" w:ascii="仿宋_GB2312" w:eastAsia="仿宋_GB2312"/>
          <w:sz w:val="24"/>
          <w:szCs w:val="24"/>
        </w:rPr>
        <w:t>）能效</w:t>
      </w:r>
      <w:r>
        <w:rPr>
          <w:rFonts w:ascii="仿宋_GB2312" w:eastAsia="仿宋_GB2312"/>
          <w:sz w:val="24"/>
          <w:szCs w:val="24"/>
        </w:rPr>
        <w:t>设施评估</w:t>
      </w:r>
      <w:r>
        <w:rPr>
          <w:rFonts w:hint="eastAsia" w:ascii="仿宋_GB2312" w:eastAsia="仿宋_GB2312"/>
          <w:sz w:val="24"/>
          <w:szCs w:val="24"/>
        </w:rPr>
        <w:t>内容</w:t>
      </w:r>
    </w:p>
    <w:p>
      <w:pPr>
        <w:spacing w:line="360" w:lineRule="auto"/>
        <w:ind w:firstLine="960" w:firstLineChars="400"/>
        <w:rPr>
          <w:rFonts w:ascii="仿宋_GB2312" w:eastAsia="仿宋_GB2312"/>
          <w:sz w:val="24"/>
          <w:szCs w:val="24"/>
        </w:rPr>
      </w:pPr>
      <w:r>
        <w:rPr>
          <w:rFonts w:hint="eastAsia" w:ascii="仿宋_GB2312" w:eastAsia="仿宋_GB2312"/>
          <w:sz w:val="24"/>
          <w:szCs w:val="24"/>
        </w:rPr>
        <w:t>1）制冷</w:t>
      </w:r>
      <w:r>
        <w:rPr>
          <w:rFonts w:ascii="仿宋_GB2312" w:eastAsia="仿宋_GB2312"/>
          <w:sz w:val="24"/>
          <w:szCs w:val="24"/>
        </w:rPr>
        <w:t>系统设施</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制冷系统设施主要包含制冷机组、蒸发器、冷凝器及连接管路。</w:t>
      </w:r>
    </w:p>
    <w:p>
      <w:pPr>
        <w:spacing w:line="360" w:lineRule="auto"/>
        <w:ind w:firstLine="960" w:firstLineChars="400"/>
        <w:rPr>
          <w:rFonts w:ascii="仿宋_GB2312" w:eastAsia="仿宋_GB2312"/>
          <w:sz w:val="24"/>
          <w:szCs w:val="24"/>
        </w:rPr>
      </w:pPr>
      <w:r>
        <w:rPr>
          <w:rFonts w:hint="eastAsia" w:ascii="仿宋_GB2312" w:eastAsia="仿宋_GB2312"/>
          <w:sz w:val="24"/>
          <w:szCs w:val="24"/>
        </w:rPr>
        <w:t>（</w:t>
      </w:r>
      <w:r>
        <w:rPr>
          <w:rFonts w:ascii="仿宋_GB2312" w:eastAsia="仿宋_GB2312"/>
          <w:sz w:val="24"/>
          <w:szCs w:val="24"/>
        </w:rPr>
        <w:t>a</w:t>
      </w:r>
      <w:r>
        <w:rPr>
          <w:rFonts w:hint="eastAsia" w:ascii="仿宋_GB2312" w:eastAsia="仿宋_GB2312"/>
          <w:sz w:val="24"/>
          <w:szCs w:val="24"/>
        </w:rPr>
        <w:t>）制冷机组。根据制冷压缩机的不同结构类型和用途，制冷机组应</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符合如下规范：《螺杆式制冷压缩机》GB/T 19410-2008、《活塞</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式单级制冷压缩机》GB/T 10079-2001、《全封闭涡旋式制冷压缩</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 xml:space="preserve">机》GB/T 18429-2001、《活塞式单机双级制冷压缩机》JB/T </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5446-1999。制冷机组为冷库的主要耗能设施，主要从以下三个方</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a）制冷机组的启停控制方式。</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b）制冷机组是否具有能量调节功能。</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c）制冷机组蒸发温度与库内温度的差值。</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w:t>
      </w:r>
      <w:r>
        <w:rPr>
          <w:rFonts w:ascii="仿宋_GB2312" w:eastAsia="仿宋_GB2312"/>
          <w:sz w:val="24"/>
          <w:szCs w:val="24"/>
        </w:rPr>
        <w:t>b</w:t>
      </w:r>
      <w:r>
        <w:rPr>
          <w:rFonts w:hint="eastAsia" w:ascii="仿宋_GB2312" w:eastAsia="仿宋_GB2312"/>
          <w:sz w:val="24"/>
          <w:szCs w:val="24"/>
        </w:rPr>
        <w:t>）蒸发器。蒸发器的能效评估主要从以下四个方面进行评估：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a）考虑蒸发器是否定期融霜。</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b）蒸发器融霜是否为自动控制。</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c）蒸发器融霜是否有过热保护。</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d）蒸发器融霜是否有防冻设施。</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e）蒸发器融霜设施是否为非耗能型。</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w:t>
      </w:r>
      <w:r>
        <w:rPr>
          <w:rFonts w:ascii="仿宋_GB2312" w:eastAsia="仿宋_GB2312"/>
          <w:sz w:val="24"/>
          <w:szCs w:val="24"/>
        </w:rPr>
        <w:t>c</w:t>
      </w:r>
      <w:r>
        <w:rPr>
          <w:rFonts w:hint="eastAsia" w:ascii="仿宋_GB2312" w:eastAsia="仿宋_GB2312"/>
          <w:sz w:val="24"/>
          <w:szCs w:val="24"/>
        </w:rPr>
        <w:t>）冷凝器。冷凝器的能效评估从以下三个方面进行评估：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a）冷凝方式。</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b）是否有软化水设施。</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c）是否有能量调节功能。</w:t>
      </w:r>
    </w:p>
    <w:p>
      <w:pPr>
        <w:spacing w:line="360" w:lineRule="auto"/>
        <w:ind w:firstLine="960" w:firstLineChars="400"/>
        <w:rPr>
          <w:rFonts w:ascii="仿宋_GB2312" w:eastAsia="仿宋_GB2312"/>
          <w:sz w:val="24"/>
          <w:szCs w:val="24"/>
        </w:rPr>
      </w:pPr>
      <w:r>
        <w:rPr>
          <w:rFonts w:hint="eastAsia" w:ascii="仿宋_GB2312" w:eastAsia="仿宋_GB2312"/>
          <w:sz w:val="24"/>
          <w:szCs w:val="24"/>
        </w:rPr>
        <w:t>（</w:t>
      </w:r>
      <w:r>
        <w:rPr>
          <w:rFonts w:ascii="仿宋_GB2312" w:eastAsia="仿宋_GB2312"/>
          <w:sz w:val="24"/>
          <w:szCs w:val="24"/>
        </w:rPr>
        <w:t>d</w:t>
      </w:r>
      <w:r>
        <w:rPr>
          <w:rFonts w:hint="eastAsia" w:ascii="仿宋_GB2312" w:eastAsia="仿宋_GB2312"/>
          <w:sz w:val="24"/>
          <w:szCs w:val="24"/>
        </w:rPr>
        <w:t>）连接管路。制冷系统的连接管路是否泄漏、保温层是否完好、保</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温效果是否影响制冷设备运行时间的关键。连接管路的能效评估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从以下三个方面进行评估：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a）管路是否泄漏。</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b）管路保温层是否完好无损坏。</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c）管路保温层外表面有无明显结露。</w:t>
      </w:r>
    </w:p>
    <w:p>
      <w:pPr>
        <w:spacing w:line="360" w:lineRule="auto"/>
        <w:ind w:firstLine="960" w:firstLineChars="400"/>
        <w:rPr>
          <w:rFonts w:ascii="仿宋_GB2312" w:eastAsia="仿宋_GB2312"/>
          <w:sz w:val="24"/>
          <w:szCs w:val="24"/>
        </w:rPr>
      </w:pPr>
      <w:r>
        <w:rPr>
          <w:rFonts w:ascii="仿宋_GB2312" w:eastAsia="仿宋_GB2312"/>
          <w:sz w:val="24"/>
          <w:szCs w:val="24"/>
        </w:rPr>
        <w:t>2</w:t>
      </w:r>
      <w:r>
        <w:rPr>
          <w:rFonts w:hint="eastAsia" w:ascii="仿宋_GB2312" w:eastAsia="仿宋_GB2312"/>
          <w:sz w:val="24"/>
          <w:szCs w:val="24"/>
        </w:rPr>
        <w:t>）围护结构</w:t>
      </w:r>
      <w:r>
        <w:rPr>
          <w:rFonts w:ascii="仿宋_GB2312" w:eastAsia="仿宋_GB2312"/>
          <w:sz w:val="24"/>
          <w:szCs w:val="24"/>
        </w:rPr>
        <w:t>设施</w:t>
      </w:r>
    </w:p>
    <w:p>
      <w:pPr>
        <w:spacing w:line="360" w:lineRule="auto"/>
        <w:ind w:firstLine="960" w:firstLineChars="400"/>
        <w:rPr>
          <w:rFonts w:ascii="仿宋_GB2312" w:eastAsia="仿宋_GB2312"/>
          <w:sz w:val="24"/>
          <w:szCs w:val="24"/>
        </w:rPr>
      </w:pPr>
      <w:r>
        <w:rPr>
          <w:rFonts w:hint="eastAsia" w:ascii="仿宋_GB2312" w:eastAsia="仿宋_GB2312"/>
          <w:sz w:val="24"/>
          <w:szCs w:val="24"/>
        </w:rPr>
        <w:t>围护结构设施包含保冷设施、装载系统设施、冷藏门洞设施。</w:t>
      </w:r>
    </w:p>
    <w:p>
      <w:pPr>
        <w:spacing w:line="360" w:lineRule="auto"/>
        <w:ind w:firstLine="960" w:firstLineChars="400"/>
        <w:rPr>
          <w:rFonts w:ascii="仿宋_GB2312" w:eastAsia="仿宋_GB2312"/>
          <w:sz w:val="24"/>
          <w:szCs w:val="24"/>
        </w:rPr>
      </w:pPr>
      <w:r>
        <w:rPr>
          <w:rFonts w:hint="eastAsia" w:ascii="仿宋_GB2312" w:eastAsia="仿宋_GB2312"/>
          <w:sz w:val="24"/>
          <w:szCs w:val="24"/>
        </w:rPr>
        <w:t xml:space="preserve">（a）保冷设施，冷库的保冷设施应符合国家标准《冷库设计规范》GB </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50072等相关规范的要求。</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保冷设施的能效评估从以下三个方面进行评估：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a）库体有无明显冷桥。</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b）库体有无明显冻鼓。</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c）保温芯材密度是否为40±2kg/m</w:t>
      </w:r>
      <w:r>
        <w:rPr>
          <w:rFonts w:eastAsia="仿宋_GB2312" w:cs="Calibri"/>
          <w:sz w:val="24"/>
          <w:szCs w:val="24"/>
        </w:rPr>
        <w:t>³</w:t>
      </w:r>
      <w:r>
        <w:rPr>
          <w:rFonts w:hint="eastAsia" w:ascii="仿宋_GB2312" w:hAnsi="仿宋_GB2312" w:eastAsia="仿宋_GB2312" w:cs="仿宋_GB2312"/>
          <w:sz w:val="24"/>
          <w:szCs w:val="24"/>
        </w:rPr>
        <w:t>。</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d）保温层有无外围护结构设施。</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w:t>
      </w:r>
      <w:r>
        <w:rPr>
          <w:rFonts w:ascii="仿宋_GB2312" w:eastAsia="仿宋_GB2312"/>
          <w:sz w:val="24"/>
          <w:szCs w:val="24"/>
        </w:rPr>
        <w:t>b</w:t>
      </w:r>
      <w:r>
        <w:rPr>
          <w:rFonts w:hint="eastAsia" w:ascii="仿宋_GB2312" w:eastAsia="仿宋_GB2312"/>
          <w:sz w:val="24"/>
          <w:szCs w:val="24"/>
        </w:rPr>
        <w:t>）装载系统设施的能效评估从以下四个方面进行评估：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a）有无升降平台。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b）装卸货门有无门封。</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c）门封是否为无空隙充气式门封。</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d）穿堂对室外的门有无保温设施。</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w:t>
      </w:r>
      <w:r>
        <w:rPr>
          <w:rFonts w:ascii="仿宋_GB2312" w:eastAsia="仿宋_GB2312"/>
          <w:sz w:val="24"/>
          <w:szCs w:val="24"/>
        </w:rPr>
        <w:t>c</w:t>
      </w:r>
      <w:r>
        <w:rPr>
          <w:rFonts w:hint="eastAsia" w:ascii="仿宋_GB2312" w:eastAsia="仿宋_GB2312"/>
          <w:sz w:val="24"/>
          <w:szCs w:val="24"/>
        </w:rPr>
        <w:t>）冷藏门洞设施的能效评估从以下三个方面进行评估：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a）冷藏门是否为自动启闭冷藏门。</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b）冷藏门洞是否设有防漏冷设施。</w:t>
      </w:r>
    </w:p>
    <w:p>
      <w:pPr>
        <w:spacing w:line="360" w:lineRule="auto"/>
        <w:ind w:firstLine="1560" w:firstLineChars="650"/>
        <w:rPr>
          <w:rFonts w:ascii="仿宋_GB2312" w:eastAsia="仿宋_GB2312"/>
          <w:sz w:val="24"/>
          <w:szCs w:val="24"/>
        </w:rPr>
      </w:pPr>
      <w:r>
        <w:rPr>
          <w:rFonts w:hint="eastAsia" w:ascii="仿宋_GB2312" w:eastAsia="仿宋_GB2312"/>
          <w:sz w:val="24"/>
          <w:szCs w:val="24"/>
        </w:rPr>
        <w:t>c）防漏冷设施是否为非耗能设施。</w:t>
      </w:r>
    </w:p>
    <w:p>
      <w:pPr>
        <w:spacing w:line="360" w:lineRule="auto"/>
        <w:ind w:firstLine="960" w:firstLineChars="400"/>
        <w:rPr>
          <w:rFonts w:ascii="仿宋_GB2312" w:eastAsia="仿宋_GB2312"/>
          <w:sz w:val="24"/>
          <w:szCs w:val="24"/>
        </w:rPr>
      </w:pPr>
      <w:r>
        <w:rPr>
          <w:rFonts w:ascii="仿宋_GB2312" w:eastAsia="仿宋_GB2312"/>
          <w:sz w:val="24"/>
          <w:szCs w:val="24"/>
        </w:rPr>
        <w:t>3</w:t>
      </w:r>
      <w:r>
        <w:rPr>
          <w:rFonts w:hint="eastAsia" w:ascii="仿宋_GB2312" w:eastAsia="仿宋_GB2312"/>
          <w:sz w:val="24"/>
          <w:szCs w:val="24"/>
        </w:rPr>
        <w:t>）辅助</w:t>
      </w:r>
      <w:r>
        <w:rPr>
          <w:rFonts w:ascii="仿宋_GB2312" w:eastAsia="仿宋_GB2312"/>
          <w:sz w:val="24"/>
          <w:szCs w:val="24"/>
        </w:rPr>
        <w:t>设施</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（a）地坪防冻设施的能效评估从以下两个方面进行评估：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a）有无地坪防冻设施。</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b）地坪防冻设施是否耗能。</w:t>
      </w:r>
    </w:p>
    <w:p>
      <w:pPr>
        <w:spacing w:line="360" w:lineRule="auto"/>
        <w:ind w:firstLine="960" w:firstLineChars="400"/>
        <w:rPr>
          <w:rFonts w:hint="eastAsia" w:ascii="仿宋_GB2312" w:eastAsia="仿宋_GB2312"/>
          <w:sz w:val="24"/>
          <w:szCs w:val="24"/>
        </w:rPr>
      </w:pPr>
      <w:r>
        <w:rPr>
          <w:rFonts w:hint="eastAsia" w:ascii="仿宋_GB2312" w:eastAsia="仿宋_GB2312"/>
          <w:sz w:val="24"/>
          <w:szCs w:val="24"/>
        </w:rPr>
        <w:t>（</w:t>
      </w:r>
      <w:r>
        <w:rPr>
          <w:rFonts w:ascii="仿宋_GB2312" w:eastAsia="仿宋_GB2312"/>
          <w:sz w:val="24"/>
          <w:szCs w:val="24"/>
        </w:rPr>
        <w:t>b</w:t>
      </w:r>
      <w:r>
        <w:rPr>
          <w:rFonts w:hint="eastAsia" w:ascii="仿宋_GB2312" w:eastAsia="仿宋_GB2312"/>
          <w:sz w:val="24"/>
          <w:szCs w:val="24"/>
        </w:rPr>
        <w:t>）冷库照明设施的能效评估从以下三个方面进行评估：</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a）是否采用节能低温三防灯。</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b）光源是否为冷光源。</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c）灯具控制是否为红外线感应控制。</w:t>
      </w:r>
    </w:p>
    <w:p>
      <w:pPr>
        <w:spacing w:line="360" w:lineRule="auto"/>
        <w:ind w:firstLine="1560" w:firstLineChars="650"/>
        <w:rPr>
          <w:rFonts w:hint="eastAsia" w:ascii="仿宋_GB2312" w:eastAsia="仿宋_GB2312"/>
          <w:sz w:val="24"/>
          <w:szCs w:val="24"/>
        </w:rPr>
      </w:pPr>
      <w:r>
        <w:rPr>
          <w:rFonts w:hint="eastAsia" w:ascii="仿宋_GB2312" w:eastAsia="仿宋_GB2312"/>
          <w:sz w:val="24"/>
          <w:szCs w:val="24"/>
        </w:rPr>
        <w:t>d）是否具备分路单独控制功能。</w:t>
      </w:r>
    </w:p>
    <w:p>
      <w:pPr>
        <w:pStyle w:val="27"/>
        <w:spacing w:line="360" w:lineRule="auto"/>
        <w:ind w:firstLine="0" w:firstLineChars="0"/>
        <w:rPr>
          <w:rFonts w:hint="eastAsia" w:ascii="仿宋_GB2312" w:eastAsia="仿宋_GB2312"/>
          <w:b/>
          <w:color w:val="000000"/>
          <w:sz w:val="24"/>
          <w:szCs w:val="24"/>
        </w:rPr>
      </w:pPr>
      <w:r>
        <w:rPr>
          <w:rFonts w:hint="eastAsia" w:ascii="仿宋_GB2312" w:eastAsia="仿宋_GB2312"/>
          <w:b/>
          <w:color w:val="000000"/>
          <w:sz w:val="24"/>
          <w:szCs w:val="24"/>
          <w:lang w:val="en-US" w:eastAsia="zh-CN"/>
        </w:rPr>
        <w:t>六</w:t>
      </w:r>
      <w:r>
        <w:rPr>
          <w:rFonts w:ascii="仿宋_GB2312" w:eastAsia="仿宋_GB2312"/>
          <w:b/>
          <w:color w:val="000000"/>
          <w:sz w:val="24"/>
          <w:szCs w:val="24"/>
        </w:rPr>
        <w:t>、</w:t>
      </w:r>
      <w:r>
        <w:rPr>
          <w:rFonts w:hint="eastAsia" w:ascii="仿宋_GB2312" w:eastAsia="仿宋_GB2312"/>
          <w:b/>
          <w:color w:val="000000"/>
          <w:sz w:val="24"/>
          <w:szCs w:val="24"/>
        </w:rPr>
        <w:t>重大意见</w:t>
      </w:r>
      <w:r>
        <w:rPr>
          <w:rFonts w:ascii="仿宋_GB2312" w:eastAsia="仿宋_GB2312"/>
          <w:b/>
          <w:color w:val="000000"/>
          <w:sz w:val="24"/>
          <w:szCs w:val="24"/>
        </w:rPr>
        <w:t>分歧的处理经过和</w:t>
      </w:r>
      <w:r>
        <w:rPr>
          <w:rFonts w:hint="eastAsia" w:ascii="仿宋_GB2312" w:eastAsia="仿宋_GB2312"/>
          <w:b/>
          <w:color w:val="000000"/>
          <w:sz w:val="24"/>
          <w:szCs w:val="24"/>
        </w:rPr>
        <w:t>依据</w:t>
      </w:r>
    </w:p>
    <w:p>
      <w:pPr>
        <w:pStyle w:val="27"/>
        <w:spacing w:line="360" w:lineRule="auto"/>
        <w:ind w:firstLine="480"/>
        <w:rPr>
          <w:rFonts w:ascii="仿宋_GB2312" w:eastAsia="仿宋_GB2312"/>
          <w:sz w:val="24"/>
        </w:rPr>
      </w:pPr>
      <w:r>
        <w:rPr>
          <w:rFonts w:hint="eastAsia" w:ascii="仿宋_GB2312" w:eastAsia="仿宋_GB2312"/>
          <w:sz w:val="24"/>
        </w:rPr>
        <w:t>目前，</w:t>
      </w:r>
      <w:r>
        <w:rPr>
          <w:rFonts w:ascii="仿宋_GB2312" w:eastAsia="仿宋_GB2312"/>
          <w:sz w:val="24"/>
        </w:rPr>
        <w:t>没有</w:t>
      </w:r>
      <w:r>
        <w:rPr>
          <w:rFonts w:hint="eastAsia" w:ascii="仿宋_GB2312" w:eastAsia="仿宋_GB2312"/>
          <w:sz w:val="24"/>
        </w:rPr>
        <w:t>分歧</w:t>
      </w:r>
      <w:r>
        <w:rPr>
          <w:rFonts w:ascii="仿宋_GB2312" w:eastAsia="仿宋_GB2312"/>
          <w:sz w:val="24"/>
        </w:rPr>
        <w:t>意见。</w:t>
      </w:r>
    </w:p>
    <w:p>
      <w:pPr>
        <w:pStyle w:val="27"/>
        <w:spacing w:line="360" w:lineRule="auto"/>
        <w:ind w:firstLine="0" w:firstLineChars="0"/>
        <w:rPr>
          <w:rFonts w:hint="eastAsia" w:ascii="仿宋_GB2312" w:eastAsia="仿宋_GB2312"/>
          <w:b/>
          <w:color w:val="000000"/>
          <w:sz w:val="24"/>
          <w:szCs w:val="24"/>
        </w:rPr>
      </w:pPr>
      <w:r>
        <w:rPr>
          <w:rFonts w:hint="eastAsia" w:ascii="仿宋_GB2312" w:eastAsia="仿宋_GB2312"/>
          <w:b/>
          <w:color w:val="000000"/>
          <w:sz w:val="24"/>
          <w:szCs w:val="24"/>
          <w:lang w:val="en-US" w:eastAsia="zh-CN"/>
        </w:rPr>
        <w:t>七</w:t>
      </w:r>
      <w:r>
        <w:rPr>
          <w:rFonts w:ascii="仿宋_GB2312" w:eastAsia="仿宋_GB2312"/>
          <w:b/>
          <w:color w:val="000000"/>
          <w:sz w:val="24"/>
          <w:szCs w:val="24"/>
        </w:rPr>
        <w:t>、</w:t>
      </w:r>
      <w:r>
        <w:rPr>
          <w:rFonts w:hint="eastAsia" w:ascii="仿宋_GB2312" w:eastAsia="仿宋_GB2312"/>
          <w:b/>
          <w:color w:val="000000"/>
          <w:sz w:val="24"/>
          <w:szCs w:val="24"/>
        </w:rPr>
        <w:t>采标情况</w:t>
      </w:r>
    </w:p>
    <w:p>
      <w:pPr>
        <w:pStyle w:val="27"/>
        <w:spacing w:line="360" w:lineRule="auto"/>
        <w:ind w:firstLine="480"/>
        <w:rPr>
          <w:rFonts w:ascii="仿宋_GB2312" w:eastAsia="仿宋_GB2312"/>
          <w:sz w:val="24"/>
        </w:rPr>
      </w:pPr>
      <w:r>
        <w:rPr>
          <w:rFonts w:hint="eastAsia" w:ascii="仿宋_GB2312" w:eastAsia="仿宋_GB2312"/>
          <w:sz w:val="24"/>
        </w:rPr>
        <w:t>本标准</w:t>
      </w:r>
      <w:r>
        <w:rPr>
          <w:rFonts w:ascii="仿宋_GB2312" w:eastAsia="仿宋_GB2312"/>
          <w:sz w:val="24"/>
        </w:rPr>
        <w:t>制定过程未检索到</w:t>
      </w:r>
      <w:r>
        <w:rPr>
          <w:rFonts w:hint="eastAsia" w:ascii="仿宋_GB2312" w:eastAsia="仿宋_GB2312"/>
          <w:sz w:val="24"/>
        </w:rPr>
        <w:t>相类似</w:t>
      </w:r>
      <w:r>
        <w:rPr>
          <w:rFonts w:ascii="仿宋_GB2312" w:eastAsia="仿宋_GB2312"/>
          <w:sz w:val="24"/>
        </w:rPr>
        <w:t>国际标准</w:t>
      </w:r>
      <w:r>
        <w:rPr>
          <w:rFonts w:hint="eastAsia" w:ascii="仿宋_GB2312" w:eastAsia="仿宋_GB2312"/>
          <w:sz w:val="24"/>
        </w:rPr>
        <w:t>或</w:t>
      </w:r>
      <w:r>
        <w:rPr>
          <w:rFonts w:ascii="仿宋_GB2312" w:eastAsia="仿宋_GB2312"/>
          <w:sz w:val="24"/>
        </w:rPr>
        <w:t>国外先进标准</w:t>
      </w:r>
      <w:r>
        <w:rPr>
          <w:rFonts w:hint="eastAsia" w:ascii="仿宋_GB2312" w:eastAsia="仿宋_GB2312"/>
          <w:sz w:val="24"/>
        </w:rPr>
        <w:t>，</w:t>
      </w:r>
      <w:r>
        <w:rPr>
          <w:rFonts w:ascii="仿宋_GB2312" w:eastAsia="仿宋_GB2312"/>
          <w:sz w:val="24"/>
        </w:rPr>
        <w:t>标准水平达到国内先进水平。</w:t>
      </w:r>
    </w:p>
    <w:p>
      <w:pPr>
        <w:pStyle w:val="27"/>
        <w:spacing w:line="360" w:lineRule="auto"/>
        <w:ind w:firstLine="0" w:firstLineChars="0"/>
        <w:rPr>
          <w:rFonts w:hint="eastAsia" w:ascii="仿宋_GB2312" w:eastAsia="仿宋_GB2312"/>
          <w:b/>
          <w:color w:val="000000"/>
          <w:sz w:val="24"/>
          <w:szCs w:val="24"/>
        </w:rPr>
      </w:pPr>
      <w:r>
        <w:rPr>
          <w:rFonts w:hint="eastAsia" w:ascii="仿宋_GB2312" w:eastAsia="仿宋_GB2312"/>
          <w:b/>
          <w:color w:val="000000"/>
          <w:sz w:val="24"/>
          <w:szCs w:val="24"/>
          <w:lang w:val="en-US" w:eastAsia="zh-CN"/>
        </w:rPr>
        <w:t>八</w:t>
      </w:r>
      <w:r>
        <w:rPr>
          <w:rFonts w:ascii="仿宋_GB2312" w:eastAsia="仿宋_GB2312"/>
          <w:b/>
          <w:color w:val="000000"/>
          <w:sz w:val="24"/>
          <w:szCs w:val="24"/>
        </w:rPr>
        <w:t>、</w:t>
      </w:r>
      <w:r>
        <w:rPr>
          <w:rFonts w:hint="eastAsia" w:ascii="仿宋_GB2312" w:eastAsia="仿宋_GB2312"/>
          <w:b/>
          <w:color w:val="000000"/>
          <w:sz w:val="24"/>
          <w:szCs w:val="24"/>
        </w:rPr>
        <w:t>与现行</w:t>
      </w:r>
      <w:r>
        <w:rPr>
          <w:rFonts w:ascii="仿宋_GB2312" w:eastAsia="仿宋_GB2312"/>
          <w:b/>
          <w:color w:val="000000"/>
          <w:sz w:val="24"/>
          <w:szCs w:val="24"/>
        </w:rPr>
        <w:t>法律、法规和强制性国家标准的关系</w:t>
      </w:r>
    </w:p>
    <w:p>
      <w:pPr>
        <w:pStyle w:val="27"/>
        <w:spacing w:line="360" w:lineRule="auto"/>
        <w:ind w:firstLine="480"/>
        <w:rPr>
          <w:rFonts w:hint="eastAsia" w:ascii="仿宋_GB2312" w:eastAsia="仿宋_GB2312"/>
          <w:sz w:val="24"/>
        </w:rPr>
      </w:pPr>
      <w:r>
        <w:rPr>
          <w:rFonts w:hint="eastAsia" w:ascii="仿宋_GB2312" w:eastAsia="仿宋_GB2312"/>
          <w:sz w:val="24"/>
        </w:rPr>
        <w:t>本标准内容符合</w:t>
      </w:r>
      <w:r>
        <w:rPr>
          <w:rFonts w:ascii="仿宋_GB2312" w:eastAsia="仿宋_GB2312"/>
          <w:sz w:val="24"/>
        </w:rPr>
        <w:t>现行法律、法规。</w:t>
      </w:r>
    </w:p>
    <w:p>
      <w:pPr>
        <w:pStyle w:val="27"/>
        <w:spacing w:line="360" w:lineRule="auto"/>
        <w:ind w:firstLine="0" w:firstLineChars="0"/>
        <w:rPr>
          <w:rFonts w:ascii="仿宋_GB2312" w:eastAsia="仿宋_GB2312"/>
          <w:b/>
          <w:color w:val="000000"/>
          <w:sz w:val="24"/>
          <w:szCs w:val="24"/>
        </w:rPr>
      </w:pPr>
      <w:r>
        <w:rPr>
          <w:rFonts w:hint="eastAsia" w:ascii="仿宋_GB2312" w:eastAsia="仿宋_GB2312"/>
          <w:b/>
          <w:color w:val="000000"/>
          <w:sz w:val="24"/>
          <w:szCs w:val="24"/>
          <w:lang w:val="en-US" w:eastAsia="zh-CN"/>
        </w:rPr>
        <w:t>九</w:t>
      </w:r>
      <w:r>
        <w:rPr>
          <w:rFonts w:ascii="仿宋_GB2312" w:eastAsia="仿宋_GB2312"/>
          <w:b/>
          <w:color w:val="000000"/>
          <w:sz w:val="24"/>
          <w:szCs w:val="24"/>
        </w:rPr>
        <w:t>、</w:t>
      </w:r>
      <w:r>
        <w:rPr>
          <w:rFonts w:hint="eastAsia" w:ascii="仿宋_GB2312" w:eastAsia="仿宋_GB2312"/>
          <w:b/>
          <w:color w:val="000000"/>
          <w:sz w:val="24"/>
          <w:szCs w:val="24"/>
        </w:rPr>
        <w:t>宣贯及实施建议</w:t>
      </w:r>
    </w:p>
    <w:p>
      <w:pPr>
        <w:pStyle w:val="15"/>
        <w:spacing w:line="360" w:lineRule="auto"/>
        <w:ind w:firstLine="460" w:firstLineChars="192"/>
        <w:rPr>
          <w:rFonts w:ascii="仿宋_GB2312" w:eastAsia="仿宋_GB2312"/>
          <w:sz w:val="24"/>
        </w:rPr>
      </w:pPr>
      <w:r>
        <w:rPr>
          <w:rFonts w:hint="eastAsia" w:ascii="仿宋_GB2312" w:eastAsia="仿宋_GB2312"/>
          <w:sz w:val="24"/>
        </w:rPr>
        <w:t>1、本标准是冷库能效设施等级评估性标准，建议作为行业标准发布并予以实施。</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2、冷库及冷链物流行业主管部门可将标准作为规范行业发展的依据和抓手。</w:t>
      </w:r>
    </w:p>
    <w:p>
      <w:pPr>
        <w:spacing w:line="360" w:lineRule="auto"/>
        <w:ind w:firstLine="480" w:firstLineChars="200"/>
        <w:rPr>
          <w:rFonts w:ascii="仿宋_GB2312" w:eastAsia="仿宋_GB2312"/>
          <w:sz w:val="24"/>
          <w:szCs w:val="24"/>
        </w:rPr>
      </w:pPr>
      <w:r>
        <w:rPr>
          <w:rFonts w:hint="eastAsia" w:ascii="仿宋_GB2312" w:eastAsia="仿宋_GB2312"/>
          <w:sz w:val="24"/>
          <w:szCs w:val="24"/>
        </w:rPr>
        <w:t>3、中国物流与采购联合会冷链物流专业委员会应作为标准贯彻的主体之一，冷链物流行业协会是政府与企业的桥梁和纽带，同时也具有带领行业企业规范经营、促进行业发展、维护行业信誉、鼓励公平竞争等职能。中国物流与采购联合会冷链物流专业委员会会及时开展本标准的宣贯，通过会议、研讨、解读、培训以及发放标准、教材等方式加以宣传，并通过组织制定相关行业标准、对食品冷库能效设施进行分级评估等活动，共同推进标准的实施。</w:t>
      </w:r>
    </w:p>
    <w:p>
      <w:pPr>
        <w:pStyle w:val="27"/>
        <w:spacing w:line="360" w:lineRule="auto"/>
        <w:ind w:firstLine="0" w:firstLineChars="0"/>
        <w:rPr>
          <w:rFonts w:hint="eastAsia" w:ascii="仿宋_GB2312" w:eastAsia="仿宋_GB2312"/>
          <w:b/>
          <w:color w:val="000000"/>
          <w:sz w:val="24"/>
          <w:szCs w:val="24"/>
        </w:rPr>
      </w:pPr>
      <w:r>
        <w:rPr>
          <w:rFonts w:hint="eastAsia" w:ascii="仿宋_GB2312" w:eastAsia="仿宋_GB2312"/>
          <w:b/>
          <w:color w:val="000000"/>
          <w:sz w:val="24"/>
          <w:szCs w:val="24"/>
        </w:rPr>
        <w:t>十</w:t>
      </w:r>
      <w:r>
        <w:rPr>
          <w:rFonts w:ascii="仿宋_GB2312" w:eastAsia="仿宋_GB2312"/>
          <w:b/>
          <w:color w:val="000000"/>
          <w:sz w:val="24"/>
          <w:szCs w:val="24"/>
        </w:rPr>
        <w:t>、</w:t>
      </w:r>
      <w:r>
        <w:rPr>
          <w:rFonts w:hint="eastAsia" w:ascii="仿宋_GB2312" w:eastAsia="仿宋_GB2312"/>
          <w:b/>
          <w:color w:val="000000"/>
          <w:sz w:val="24"/>
          <w:szCs w:val="24"/>
        </w:rPr>
        <w:t>其它</w:t>
      </w:r>
      <w:r>
        <w:rPr>
          <w:rFonts w:ascii="仿宋_GB2312" w:eastAsia="仿宋_GB2312"/>
          <w:b/>
          <w:color w:val="000000"/>
          <w:sz w:val="24"/>
          <w:szCs w:val="24"/>
        </w:rPr>
        <w:t>应予说明的事项</w:t>
      </w:r>
    </w:p>
    <w:p>
      <w:pPr>
        <w:pStyle w:val="15"/>
        <w:spacing w:line="360" w:lineRule="auto"/>
        <w:ind w:firstLine="460" w:firstLineChars="192"/>
        <w:rPr>
          <w:rFonts w:hint="eastAsia" w:ascii="仿宋_GB2312" w:eastAsia="仿宋_GB2312"/>
          <w:sz w:val="24"/>
        </w:rPr>
      </w:pPr>
      <w:r>
        <w:rPr>
          <w:rFonts w:hint="eastAsia" w:ascii="仿宋_GB2312" w:eastAsia="仿宋_GB2312"/>
          <w:sz w:val="24"/>
        </w:rPr>
        <w:t>1、本标准内容不</w:t>
      </w:r>
      <w:r>
        <w:rPr>
          <w:rFonts w:ascii="仿宋_GB2312" w:eastAsia="仿宋_GB2312"/>
          <w:sz w:val="24"/>
        </w:rPr>
        <w:t>涉及相关专利。</w:t>
      </w:r>
    </w:p>
    <w:p>
      <w:pPr>
        <w:spacing w:line="360" w:lineRule="auto"/>
        <w:ind w:firstLine="480" w:firstLineChars="200"/>
        <w:rPr>
          <w:rFonts w:hint="eastAsia" w:ascii="仿宋_GB2312" w:eastAsia="仿宋_GB2312"/>
          <w:sz w:val="24"/>
          <w:szCs w:val="24"/>
        </w:rPr>
      </w:pPr>
      <w:r>
        <w:rPr>
          <w:rFonts w:hint="eastAsia" w:ascii="仿宋_GB2312" w:eastAsia="仿宋_GB2312"/>
          <w:sz w:val="24"/>
          <w:szCs w:val="24"/>
        </w:rPr>
        <w:t>2、本标准</w:t>
      </w:r>
      <w:r>
        <w:rPr>
          <w:rFonts w:ascii="仿宋_GB2312" w:eastAsia="仿宋_GB2312"/>
          <w:sz w:val="24"/>
          <w:szCs w:val="24"/>
        </w:rPr>
        <w:t>为首次制定。</w:t>
      </w:r>
    </w:p>
    <w:p>
      <w:pPr>
        <w:widowControl/>
        <w:shd w:val="clear" w:color="auto" w:fill="FFFFFF"/>
        <w:spacing w:before="150" w:after="100" w:afterAutospacing="1" w:line="360" w:lineRule="auto"/>
        <w:jc w:val="right"/>
        <w:rPr>
          <w:rFonts w:ascii="仿宋_GB2312" w:eastAsia="仿宋_GB2312"/>
          <w:sz w:val="24"/>
          <w:szCs w:val="24"/>
        </w:rPr>
      </w:pPr>
      <w:r>
        <w:rPr>
          <w:rFonts w:hint="eastAsia" w:ascii="仿宋_GB2312" w:eastAsia="仿宋_GB2312"/>
          <w:sz w:val="24"/>
          <w:szCs w:val="24"/>
        </w:rPr>
        <w:t>《</w:t>
      </w:r>
      <w:r>
        <w:rPr>
          <w:rFonts w:hint="eastAsia" w:ascii="仿宋_GB2312" w:eastAsia="仿宋_GB2312"/>
          <w:sz w:val="24"/>
          <w:szCs w:val="24"/>
          <w:lang w:eastAsia="zh-CN"/>
        </w:rPr>
        <w:t>食品冷库能效设施评估指标</w:t>
      </w:r>
      <w:r>
        <w:rPr>
          <w:rFonts w:hint="eastAsia" w:ascii="仿宋_GB2312" w:eastAsia="仿宋_GB2312"/>
          <w:sz w:val="24"/>
          <w:szCs w:val="24"/>
        </w:rPr>
        <w:t>》行标起草小组</w:t>
      </w:r>
    </w:p>
    <w:p>
      <w:pPr>
        <w:widowControl/>
        <w:shd w:val="clear" w:color="auto" w:fill="FFFFFF"/>
        <w:spacing w:before="150" w:after="100" w:afterAutospacing="1" w:line="360" w:lineRule="auto"/>
        <w:jc w:val="right"/>
        <w:rPr>
          <w:rFonts w:ascii="仿宋_GB2312" w:eastAsia="仿宋_GB2312"/>
          <w:sz w:val="24"/>
          <w:szCs w:val="24"/>
        </w:rPr>
      </w:pPr>
      <w:r>
        <w:rPr>
          <w:rFonts w:hint="eastAsia" w:ascii="仿宋_GB2312" w:eastAsia="仿宋_GB2312"/>
          <w:sz w:val="24"/>
          <w:szCs w:val="24"/>
        </w:rPr>
        <w:t>201</w:t>
      </w:r>
      <w:r>
        <w:rPr>
          <w:rFonts w:ascii="仿宋_GB2312" w:eastAsia="仿宋_GB2312"/>
          <w:sz w:val="24"/>
          <w:szCs w:val="24"/>
        </w:rPr>
        <w:t>8</w:t>
      </w:r>
      <w:r>
        <w:rPr>
          <w:rFonts w:hint="eastAsia" w:ascii="仿宋_GB2312" w:eastAsia="仿宋_GB2312"/>
          <w:sz w:val="24"/>
          <w:szCs w:val="24"/>
        </w:rPr>
        <w:t>年</w:t>
      </w:r>
      <w:r>
        <w:rPr>
          <w:rFonts w:ascii="仿宋_GB2312" w:eastAsia="仿宋_GB2312"/>
          <w:sz w:val="24"/>
          <w:szCs w:val="24"/>
        </w:rPr>
        <w:t>05</w:t>
      </w:r>
      <w:r>
        <w:rPr>
          <w:rFonts w:hint="eastAsia" w:ascii="仿宋_GB2312" w:eastAsia="仿宋_GB2312"/>
          <w:sz w:val="24"/>
          <w:szCs w:val="24"/>
        </w:rPr>
        <w:t>月</w:t>
      </w:r>
      <w:r>
        <w:rPr>
          <w:rFonts w:ascii="仿宋_GB2312" w:eastAsia="仿宋_GB2312"/>
          <w:sz w:val="24"/>
          <w:szCs w:val="24"/>
        </w:rPr>
        <w:t>22</w:t>
      </w:r>
      <w:r>
        <w:rPr>
          <w:rFonts w:hint="eastAsia" w:ascii="仿宋_GB2312" w:eastAsia="仿宋_GB2312"/>
          <w:sz w:val="24"/>
          <w:szCs w:val="24"/>
        </w:rPr>
        <w:t>日</w:t>
      </w:r>
    </w:p>
    <w:sectPr>
      <w:footerReference r:id="rId3" w:type="default"/>
      <w:pgSz w:w="11906" w:h="16838"/>
      <w:pgMar w:top="2007"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8</w:t>
    </w:r>
    <w:r>
      <w:rPr>
        <w:lang w:val="zh-CN"/>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C68D0"/>
    <w:multiLevelType w:val="multilevel"/>
    <w:tmpl w:val="139C68D0"/>
    <w:lvl w:ilvl="0" w:tentative="0">
      <w:start w:val="1"/>
      <w:numFmt w:val="decimal"/>
      <w:lvlText w:val="%1、"/>
      <w:lvlJc w:val="left"/>
      <w:pPr>
        <w:ind w:left="900" w:hanging="360"/>
      </w:pPr>
      <w:rPr>
        <w:rFonts w:hint="default"/>
      </w:rPr>
    </w:lvl>
    <w:lvl w:ilvl="1" w:tentative="0">
      <w:start w:val="3"/>
      <w:numFmt w:val="decimal"/>
      <w:lvlText w:val="%2）"/>
      <w:lvlJc w:val="left"/>
      <w:pPr>
        <w:ind w:left="1320" w:hanging="360"/>
      </w:pPr>
      <w:rPr>
        <w:rFonts w:hint="default"/>
      </w:rPr>
    </w:lvl>
    <w:lvl w:ilvl="2" w:tentative="0">
      <w:start w:val="1"/>
      <w:numFmt w:val="lowerRoman"/>
      <w:pStyle w:val="28"/>
      <w:lvlText w:val="%3."/>
      <w:lvlJc w:val="right"/>
      <w:pPr>
        <w:ind w:left="1800" w:hanging="420"/>
      </w:pPr>
    </w:lvl>
    <w:lvl w:ilvl="3" w:tentative="0">
      <w:start w:val="2"/>
      <w:numFmt w:val="lowerLetter"/>
      <w:lvlText w:val="%4）"/>
      <w:lvlJc w:val="left"/>
      <w:pPr>
        <w:ind w:left="2160" w:hanging="360"/>
      </w:pPr>
      <w:rPr>
        <w:rFonts w:hint="default"/>
      </w:r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0"/>
  <w:drawingGridVerticalSpacing w:val="156"/>
  <w:doNotShadeFormData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E30"/>
    <w:rsid w:val="000005E9"/>
    <w:rsid w:val="00002629"/>
    <w:rsid w:val="000031E1"/>
    <w:rsid w:val="00005D7E"/>
    <w:rsid w:val="0001547F"/>
    <w:rsid w:val="0001620A"/>
    <w:rsid w:val="0002090A"/>
    <w:rsid w:val="00021526"/>
    <w:rsid w:val="00030161"/>
    <w:rsid w:val="00037AAA"/>
    <w:rsid w:val="00041D59"/>
    <w:rsid w:val="00044386"/>
    <w:rsid w:val="00053134"/>
    <w:rsid w:val="00061A99"/>
    <w:rsid w:val="000622B2"/>
    <w:rsid w:val="00064D56"/>
    <w:rsid w:val="00064F98"/>
    <w:rsid w:val="00082CF3"/>
    <w:rsid w:val="0008300A"/>
    <w:rsid w:val="00084921"/>
    <w:rsid w:val="00085F2A"/>
    <w:rsid w:val="000908C3"/>
    <w:rsid w:val="00093410"/>
    <w:rsid w:val="00096860"/>
    <w:rsid w:val="000B20DA"/>
    <w:rsid w:val="000B459C"/>
    <w:rsid w:val="000B711B"/>
    <w:rsid w:val="000C7D77"/>
    <w:rsid w:val="000E371E"/>
    <w:rsid w:val="000F4242"/>
    <w:rsid w:val="000F442F"/>
    <w:rsid w:val="000F773E"/>
    <w:rsid w:val="00105D62"/>
    <w:rsid w:val="00114C69"/>
    <w:rsid w:val="001160DF"/>
    <w:rsid w:val="00130BAF"/>
    <w:rsid w:val="001325B4"/>
    <w:rsid w:val="0014419C"/>
    <w:rsid w:val="00144527"/>
    <w:rsid w:val="00146312"/>
    <w:rsid w:val="001674FE"/>
    <w:rsid w:val="00170DDC"/>
    <w:rsid w:val="00171A8F"/>
    <w:rsid w:val="00187362"/>
    <w:rsid w:val="001974D0"/>
    <w:rsid w:val="001A0C99"/>
    <w:rsid w:val="001C0CD8"/>
    <w:rsid w:val="001D4611"/>
    <w:rsid w:val="001E03DE"/>
    <w:rsid w:val="001E6E69"/>
    <w:rsid w:val="001F0B5A"/>
    <w:rsid w:val="001F3A47"/>
    <w:rsid w:val="00201959"/>
    <w:rsid w:val="00210382"/>
    <w:rsid w:val="0021166C"/>
    <w:rsid w:val="00226167"/>
    <w:rsid w:val="00232183"/>
    <w:rsid w:val="002448CD"/>
    <w:rsid w:val="0025262F"/>
    <w:rsid w:val="0026071E"/>
    <w:rsid w:val="00262D9B"/>
    <w:rsid w:val="00272D88"/>
    <w:rsid w:val="00274ED3"/>
    <w:rsid w:val="00274F39"/>
    <w:rsid w:val="00277E05"/>
    <w:rsid w:val="0028205E"/>
    <w:rsid w:val="002847BF"/>
    <w:rsid w:val="00287AD7"/>
    <w:rsid w:val="00291EFD"/>
    <w:rsid w:val="002932C0"/>
    <w:rsid w:val="0029607F"/>
    <w:rsid w:val="00296F1B"/>
    <w:rsid w:val="00297A2E"/>
    <w:rsid w:val="002C115D"/>
    <w:rsid w:val="002C519D"/>
    <w:rsid w:val="002C54B3"/>
    <w:rsid w:val="002C6CC2"/>
    <w:rsid w:val="002F3B7F"/>
    <w:rsid w:val="002F5052"/>
    <w:rsid w:val="002F6E99"/>
    <w:rsid w:val="003029C5"/>
    <w:rsid w:val="00307303"/>
    <w:rsid w:val="003160F1"/>
    <w:rsid w:val="00324415"/>
    <w:rsid w:val="00325212"/>
    <w:rsid w:val="0032781D"/>
    <w:rsid w:val="00333128"/>
    <w:rsid w:val="00333EA6"/>
    <w:rsid w:val="00336A0D"/>
    <w:rsid w:val="003409F5"/>
    <w:rsid w:val="00350F91"/>
    <w:rsid w:val="00352B1B"/>
    <w:rsid w:val="003569D0"/>
    <w:rsid w:val="00360445"/>
    <w:rsid w:val="00370D5C"/>
    <w:rsid w:val="003715E0"/>
    <w:rsid w:val="00372A15"/>
    <w:rsid w:val="00372A1B"/>
    <w:rsid w:val="003735EC"/>
    <w:rsid w:val="003812BB"/>
    <w:rsid w:val="003857D4"/>
    <w:rsid w:val="00387DAD"/>
    <w:rsid w:val="003977C6"/>
    <w:rsid w:val="003A2C11"/>
    <w:rsid w:val="003B2063"/>
    <w:rsid w:val="003B4D92"/>
    <w:rsid w:val="003B4FF9"/>
    <w:rsid w:val="003C217B"/>
    <w:rsid w:val="003C711E"/>
    <w:rsid w:val="003D6DB5"/>
    <w:rsid w:val="003E2A22"/>
    <w:rsid w:val="003F26D5"/>
    <w:rsid w:val="003F2DD5"/>
    <w:rsid w:val="00405087"/>
    <w:rsid w:val="004165E1"/>
    <w:rsid w:val="00420862"/>
    <w:rsid w:val="00426B87"/>
    <w:rsid w:val="00434085"/>
    <w:rsid w:val="00437450"/>
    <w:rsid w:val="004415FD"/>
    <w:rsid w:val="00442E08"/>
    <w:rsid w:val="00443344"/>
    <w:rsid w:val="00445D33"/>
    <w:rsid w:val="00450BEE"/>
    <w:rsid w:val="00457707"/>
    <w:rsid w:val="00466357"/>
    <w:rsid w:val="004761E9"/>
    <w:rsid w:val="00480624"/>
    <w:rsid w:val="00482BA5"/>
    <w:rsid w:val="00487B02"/>
    <w:rsid w:val="004B00C6"/>
    <w:rsid w:val="004B08D6"/>
    <w:rsid w:val="004B5609"/>
    <w:rsid w:val="004C1920"/>
    <w:rsid w:val="004C6C9A"/>
    <w:rsid w:val="004D7E8A"/>
    <w:rsid w:val="00510F82"/>
    <w:rsid w:val="00520A3F"/>
    <w:rsid w:val="00550C22"/>
    <w:rsid w:val="00552F2C"/>
    <w:rsid w:val="00562E16"/>
    <w:rsid w:val="005631BA"/>
    <w:rsid w:val="0056382B"/>
    <w:rsid w:val="00565AF5"/>
    <w:rsid w:val="00566B62"/>
    <w:rsid w:val="00570592"/>
    <w:rsid w:val="00575E7D"/>
    <w:rsid w:val="00577804"/>
    <w:rsid w:val="00580833"/>
    <w:rsid w:val="00582846"/>
    <w:rsid w:val="00584352"/>
    <w:rsid w:val="005B4611"/>
    <w:rsid w:val="005C3395"/>
    <w:rsid w:val="005C636F"/>
    <w:rsid w:val="005E0D2B"/>
    <w:rsid w:val="005E0E7A"/>
    <w:rsid w:val="005F1199"/>
    <w:rsid w:val="00612E81"/>
    <w:rsid w:val="00615202"/>
    <w:rsid w:val="00615F23"/>
    <w:rsid w:val="00616797"/>
    <w:rsid w:val="006255FB"/>
    <w:rsid w:val="00625780"/>
    <w:rsid w:val="00627E9E"/>
    <w:rsid w:val="00632D0D"/>
    <w:rsid w:val="00636C4D"/>
    <w:rsid w:val="00642AC7"/>
    <w:rsid w:val="0064517C"/>
    <w:rsid w:val="00646DEE"/>
    <w:rsid w:val="006559C8"/>
    <w:rsid w:val="006575F9"/>
    <w:rsid w:val="00662C86"/>
    <w:rsid w:val="00663FF9"/>
    <w:rsid w:val="00666D0C"/>
    <w:rsid w:val="006678B4"/>
    <w:rsid w:val="00675F44"/>
    <w:rsid w:val="00681525"/>
    <w:rsid w:val="00684B72"/>
    <w:rsid w:val="006A1057"/>
    <w:rsid w:val="006A614F"/>
    <w:rsid w:val="006A662D"/>
    <w:rsid w:val="006A6CC9"/>
    <w:rsid w:val="006D4687"/>
    <w:rsid w:val="006D520B"/>
    <w:rsid w:val="006E6F14"/>
    <w:rsid w:val="00700418"/>
    <w:rsid w:val="00703C91"/>
    <w:rsid w:val="00705605"/>
    <w:rsid w:val="007119BD"/>
    <w:rsid w:val="0072280B"/>
    <w:rsid w:val="00724B00"/>
    <w:rsid w:val="0073580C"/>
    <w:rsid w:val="00737741"/>
    <w:rsid w:val="00760DF8"/>
    <w:rsid w:val="007716D3"/>
    <w:rsid w:val="00772A99"/>
    <w:rsid w:val="00781FC6"/>
    <w:rsid w:val="007825EC"/>
    <w:rsid w:val="00795AEA"/>
    <w:rsid w:val="007A5759"/>
    <w:rsid w:val="007A76BC"/>
    <w:rsid w:val="007B3668"/>
    <w:rsid w:val="007C64F5"/>
    <w:rsid w:val="007D106D"/>
    <w:rsid w:val="007E4681"/>
    <w:rsid w:val="007E78CA"/>
    <w:rsid w:val="007F20FE"/>
    <w:rsid w:val="007F243E"/>
    <w:rsid w:val="007F40ED"/>
    <w:rsid w:val="007F4B43"/>
    <w:rsid w:val="00801557"/>
    <w:rsid w:val="00813DFB"/>
    <w:rsid w:val="00823885"/>
    <w:rsid w:val="008566AD"/>
    <w:rsid w:val="00860D5C"/>
    <w:rsid w:val="00861F58"/>
    <w:rsid w:val="008736E9"/>
    <w:rsid w:val="00882585"/>
    <w:rsid w:val="00887CCA"/>
    <w:rsid w:val="00887D91"/>
    <w:rsid w:val="008A09C6"/>
    <w:rsid w:val="008A38F7"/>
    <w:rsid w:val="008A473A"/>
    <w:rsid w:val="008A5229"/>
    <w:rsid w:val="008D411B"/>
    <w:rsid w:val="008F105D"/>
    <w:rsid w:val="00910790"/>
    <w:rsid w:val="00913B4E"/>
    <w:rsid w:val="00914B3E"/>
    <w:rsid w:val="00926C1D"/>
    <w:rsid w:val="009303F1"/>
    <w:rsid w:val="00932933"/>
    <w:rsid w:val="009378A1"/>
    <w:rsid w:val="00941F6D"/>
    <w:rsid w:val="00956F30"/>
    <w:rsid w:val="00960EF7"/>
    <w:rsid w:val="00963E65"/>
    <w:rsid w:val="00972E33"/>
    <w:rsid w:val="0097307E"/>
    <w:rsid w:val="00975B28"/>
    <w:rsid w:val="009777E8"/>
    <w:rsid w:val="00985070"/>
    <w:rsid w:val="009952DA"/>
    <w:rsid w:val="009A0DCF"/>
    <w:rsid w:val="009B7976"/>
    <w:rsid w:val="009B7B82"/>
    <w:rsid w:val="009C5141"/>
    <w:rsid w:val="009D1C74"/>
    <w:rsid w:val="009D3489"/>
    <w:rsid w:val="009D69E7"/>
    <w:rsid w:val="009D7641"/>
    <w:rsid w:val="009D77FD"/>
    <w:rsid w:val="009E3F14"/>
    <w:rsid w:val="009F7BB6"/>
    <w:rsid w:val="00A046F5"/>
    <w:rsid w:val="00A06C31"/>
    <w:rsid w:val="00A149E2"/>
    <w:rsid w:val="00A373A1"/>
    <w:rsid w:val="00A43A6D"/>
    <w:rsid w:val="00A443F4"/>
    <w:rsid w:val="00A50268"/>
    <w:rsid w:val="00A651FA"/>
    <w:rsid w:val="00A705C5"/>
    <w:rsid w:val="00A7576A"/>
    <w:rsid w:val="00A75868"/>
    <w:rsid w:val="00A7727D"/>
    <w:rsid w:val="00A82F1E"/>
    <w:rsid w:val="00A858B1"/>
    <w:rsid w:val="00A93A32"/>
    <w:rsid w:val="00AC0EF9"/>
    <w:rsid w:val="00AC3949"/>
    <w:rsid w:val="00AC3E1E"/>
    <w:rsid w:val="00AD1701"/>
    <w:rsid w:val="00AD1715"/>
    <w:rsid w:val="00AF010D"/>
    <w:rsid w:val="00AF1AF4"/>
    <w:rsid w:val="00B02CA1"/>
    <w:rsid w:val="00B10ABB"/>
    <w:rsid w:val="00B1680D"/>
    <w:rsid w:val="00B20AAC"/>
    <w:rsid w:val="00B218A9"/>
    <w:rsid w:val="00B268BA"/>
    <w:rsid w:val="00B36E9C"/>
    <w:rsid w:val="00B40A57"/>
    <w:rsid w:val="00B50F2B"/>
    <w:rsid w:val="00B54493"/>
    <w:rsid w:val="00B54D21"/>
    <w:rsid w:val="00B55458"/>
    <w:rsid w:val="00B66339"/>
    <w:rsid w:val="00B74FF8"/>
    <w:rsid w:val="00B80F05"/>
    <w:rsid w:val="00BA155F"/>
    <w:rsid w:val="00BA675C"/>
    <w:rsid w:val="00BA7F16"/>
    <w:rsid w:val="00BB199A"/>
    <w:rsid w:val="00BB5E77"/>
    <w:rsid w:val="00BB7ADF"/>
    <w:rsid w:val="00BC564F"/>
    <w:rsid w:val="00BD7E30"/>
    <w:rsid w:val="00BE0AE1"/>
    <w:rsid w:val="00BE13A4"/>
    <w:rsid w:val="00BF785F"/>
    <w:rsid w:val="00C01315"/>
    <w:rsid w:val="00C14D21"/>
    <w:rsid w:val="00C1601C"/>
    <w:rsid w:val="00C17870"/>
    <w:rsid w:val="00C260D1"/>
    <w:rsid w:val="00C360A3"/>
    <w:rsid w:val="00C401EB"/>
    <w:rsid w:val="00C464CE"/>
    <w:rsid w:val="00C47C0D"/>
    <w:rsid w:val="00C54BD8"/>
    <w:rsid w:val="00C57632"/>
    <w:rsid w:val="00C63BF8"/>
    <w:rsid w:val="00C64742"/>
    <w:rsid w:val="00C74932"/>
    <w:rsid w:val="00C863C3"/>
    <w:rsid w:val="00C865D2"/>
    <w:rsid w:val="00C87076"/>
    <w:rsid w:val="00C872AF"/>
    <w:rsid w:val="00C92F30"/>
    <w:rsid w:val="00CA05B9"/>
    <w:rsid w:val="00CA216D"/>
    <w:rsid w:val="00CA273B"/>
    <w:rsid w:val="00CA338C"/>
    <w:rsid w:val="00CB4B3E"/>
    <w:rsid w:val="00CC2824"/>
    <w:rsid w:val="00CC3E54"/>
    <w:rsid w:val="00CD0D10"/>
    <w:rsid w:val="00CD15AE"/>
    <w:rsid w:val="00CD6C85"/>
    <w:rsid w:val="00CE3A41"/>
    <w:rsid w:val="00CF0547"/>
    <w:rsid w:val="00CF1D33"/>
    <w:rsid w:val="00CF492A"/>
    <w:rsid w:val="00CF7E4F"/>
    <w:rsid w:val="00D03558"/>
    <w:rsid w:val="00D23A35"/>
    <w:rsid w:val="00D32D90"/>
    <w:rsid w:val="00D34702"/>
    <w:rsid w:val="00D4709F"/>
    <w:rsid w:val="00D508CC"/>
    <w:rsid w:val="00D6367D"/>
    <w:rsid w:val="00D66F2B"/>
    <w:rsid w:val="00D75D45"/>
    <w:rsid w:val="00D80C14"/>
    <w:rsid w:val="00D842A9"/>
    <w:rsid w:val="00D87F87"/>
    <w:rsid w:val="00D967DB"/>
    <w:rsid w:val="00D979FD"/>
    <w:rsid w:val="00DA0E32"/>
    <w:rsid w:val="00DA49BB"/>
    <w:rsid w:val="00DA4C02"/>
    <w:rsid w:val="00DB3324"/>
    <w:rsid w:val="00DC55B2"/>
    <w:rsid w:val="00DD6BC9"/>
    <w:rsid w:val="00DE433F"/>
    <w:rsid w:val="00DE4477"/>
    <w:rsid w:val="00DF74FF"/>
    <w:rsid w:val="00E0525C"/>
    <w:rsid w:val="00E07492"/>
    <w:rsid w:val="00E15955"/>
    <w:rsid w:val="00E17160"/>
    <w:rsid w:val="00E20D0A"/>
    <w:rsid w:val="00E22C78"/>
    <w:rsid w:val="00E23381"/>
    <w:rsid w:val="00E30C01"/>
    <w:rsid w:val="00E41DAD"/>
    <w:rsid w:val="00E63239"/>
    <w:rsid w:val="00E77A9E"/>
    <w:rsid w:val="00E80B06"/>
    <w:rsid w:val="00E909AA"/>
    <w:rsid w:val="00E92403"/>
    <w:rsid w:val="00EA5955"/>
    <w:rsid w:val="00EB1884"/>
    <w:rsid w:val="00EC74E2"/>
    <w:rsid w:val="00ED3531"/>
    <w:rsid w:val="00ED47EC"/>
    <w:rsid w:val="00ED5E05"/>
    <w:rsid w:val="00EE3E0B"/>
    <w:rsid w:val="00EE668F"/>
    <w:rsid w:val="00EE79A7"/>
    <w:rsid w:val="00EF0471"/>
    <w:rsid w:val="00EF13E0"/>
    <w:rsid w:val="00EF704A"/>
    <w:rsid w:val="00F00D62"/>
    <w:rsid w:val="00F02333"/>
    <w:rsid w:val="00F040C8"/>
    <w:rsid w:val="00F04580"/>
    <w:rsid w:val="00F12390"/>
    <w:rsid w:val="00F130D4"/>
    <w:rsid w:val="00F16341"/>
    <w:rsid w:val="00F2260C"/>
    <w:rsid w:val="00F24350"/>
    <w:rsid w:val="00F313DB"/>
    <w:rsid w:val="00F31D36"/>
    <w:rsid w:val="00F36EAA"/>
    <w:rsid w:val="00F37009"/>
    <w:rsid w:val="00F51641"/>
    <w:rsid w:val="00F552FE"/>
    <w:rsid w:val="00F57794"/>
    <w:rsid w:val="00F64215"/>
    <w:rsid w:val="00F65EB4"/>
    <w:rsid w:val="00F668AB"/>
    <w:rsid w:val="00F711BE"/>
    <w:rsid w:val="00F733C3"/>
    <w:rsid w:val="00F77919"/>
    <w:rsid w:val="00F8036E"/>
    <w:rsid w:val="00F87EFD"/>
    <w:rsid w:val="00F946F7"/>
    <w:rsid w:val="00FA63ED"/>
    <w:rsid w:val="00FB487D"/>
    <w:rsid w:val="00FB6549"/>
    <w:rsid w:val="00FB7193"/>
    <w:rsid w:val="00FC173C"/>
    <w:rsid w:val="00FC3B18"/>
    <w:rsid w:val="00FC7497"/>
    <w:rsid w:val="00FD0906"/>
    <w:rsid w:val="00FD3BC4"/>
    <w:rsid w:val="00FE0504"/>
    <w:rsid w:val="00FE274C"/>
    <w:rsid w:val="01BD77E1"/>
    <w:rsid w:val="048273E6"/>
    <w:rsid w:val="078F6575"/>
    <w:rsid w:val="0832340F"/>
    <w:rsid w:val="085459D9"/>
    <w:rsid w:val="08EF1295"/>
    <w:rsid w:val="0B2D4462"/>
    <w:rsid w:val="0CDE1C2A"/>
    <w:rsid w:val="0D383C46"/>
    <w:rsid w:val="0EF5526D"/>
    <w:rsid w:val="0FEF50B4"/>
    <w:rsid w:val="10F325AD"/>
    <w:rsid w:val="134A5667"/>
    <w:rsid w:val="160B27A8"/>
    <w:rsid w:val="1B8842E7"/>
    <w:rsid w:val="1E832C19"/>
    <w:rsid w:val="1F454970"/>
    <w:rsid w:val="211C55DD"/>
    <w:rsid w:val="21816606"/>
    <w:rsid w:val="23E1527C"/>
    <w:rsid w:val="26502D8C"/>
    <w:rsid w:val="28743063"/>
    <w:rsid w:val="29C4661D"/>
    <w:rsid w:val="2A8E3CE0"/>
    <w:rsid w:val="2FB122DE"/>
    <w:rsid w:val="30283F91"/>
    <w:rsid w:val="31A176B3"/>
    <w:rsid w:val="32291A0D"/>
    <w:rsid w:val="323D3875"/>
    <w:rsid w:val="38C51FA1"/>
    <w:rsid w:val="39D774A9"/>
    <w:rsid w:val="3A8C3601"/>
    <w:rsid w:val="3AA87A1F"/>
    <w:rsid w:val="3BFC2554"/>
    <w:rsid w:val="3BFD2D78"/>
    <w:rsid w:val="3C221ED4"/>
    <w:rsid w:val="3DA16CAC"/>
    <w:rsid w:val="3EC27743"/>
    <w:rsid w:val="404B714A"/>
    <w:rsid w:val="42757194"/>
    <w:rsid w:val="440853AC"/>
    <w:rsid w:val="44275DF5"/>
    <w:rsid w:val="4908545F"/>
    <w:rsid w:val="49B21A43"/>
    <w:rsid w:val="4C752B7D"/>
    <w:rsid w:val="4EB74DD4"/>
    <w:rsid w:val="4F5F6F24"/>
    <w:rsid w:val="50B41009"/>
    <w:rsid w:val="514463C4"/>
    <w:rsid w:val="517D1D52"/>
    <w:rsid w:val="54E9236E"/>
    <w:rsid w:val="56697D80"/>
    <w:rsid w:val="584B5406"/>
    <w:rsid w:val="59610FE2"/>
    <w:rsid w:val="5AA65046"/>
    <w:rsid w:val="5E413634"/>
    <w:rsid w:val="609C218E"/>
    <w:rsid w:val="64D32E92"/>
    <w:rsid w:val="681C673D"/>
    <w:rsid w:val="69620DCD"/>
    <w:rsid w:val="6C9C234B"/>
    <w:rsid w:val="6CC12F8D"/>
    <w:rsid w:val="6CDD3B27"/>
    <w:rsid w:val="6D4B1F5D"/>
    <w:rsid w:val="6DE211D7"/>
    <w:rsid w:val="6E441B62"/>
    <w:rsid w:val="6EF96AD6"/>
    <w:rsid w:val="70012FF0"/>
    <w:rsid w:val="70B848CF"/>
    <w:rsid w:val="72130A36"/>
    <w:rsid w:val="74122A8F"/>
    <w:rsid w:val="76233A75"/>
    <w:rsid w:val="780627F5"/>
    <w:rsid w:val="78181816"/>
    <w:rsid w:val="78DC7ECF"/>
    <w:rsid w:val="79466A05"/>
    <w:rsid w:val="7A145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nhideWhenUsed="0" w:uiPriority="0" w:semiHidden="0" w:name="toc 7"/>
    <w:lsdException w:uiPriority="39" w:name="toc 8"/>
    <w:lsdException w:uiPriority="39"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next w:val="1"/>
    <w:link w:val="29"/>
    <w:qFormat/>
    <w:uiPriority w:val="0"/>
    <w:pPr>
      <w:keepNext/>
      <w:keepLines/>
      <w:tabs>
        <w:tab w:val="left" w:pos="0"/>
      </w:tabs>
      <w:spacing w:line="360" w:lineRule="auto"/>
      <w:outlineLvl w:val="1"/>
    </w:pPr>
    <w:rPr>
      <w:rFonts w:eastAsia="黑体"/>
      <w:bCs/>
      <w:sz w:val="24"/>
      <w:szCs w:val="32"/>
    </w:rPr>
  </w:style>
  <w:style w:type="character" w:default="1" w:styleId="11">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toc 7"/>
    <w:basedOn w:val="1"/>
    <w:next w:val="1"/>
    <w:uiPriority w:val="0"/>
    <w:pPr>
      <w:adjustRightInd w:val="0"/>
      <w:spacing w:line="360" w:lineRule="atLeast"/>
      <w:ind w:left="1440"/>
      <w:jc w:val="left"/>
      <w:textAlignment w:val="baseline"/>
    </w:pPr>
    <w:rPr>
      <w:rFonts w:cs="Times New Roman"/>
      <w:kern w:val="0"/>
      <w:sz w:val="18"/>
      <w:szCs w:val="18"/>
    </w:rPr>
  </w:style>
  <w:style w:type="paragraph" w:styleId="4">
    <w:name w:val="caption"/>
    <w:basedOn w:val="1"/>
    <w:next w:val="1"/>
    <w:link w:val="40"/>
    <w:qFormat/>
    <w:uiPriority w:val="0"/>
    <w:pPr>
      <w:adjustRightInd w:val="0"/>
      <w:spacing w:line="360" w:lineRule="atLeast"/>
      <w:jc w:val="center"/>
      <w:textAlignment w:val="baseline"/>
    </w:pPr>
    <w:rPr>
      <w:rFonts w:ascii="Arial" w:hAnsi="Arial" w:eastAsia="黑体" w:cs="Arial"/>
      <w:b/>
      <w:kern w:val="0"/>
      <w:sz w:val="24"/>
      <w:szCs w:val="24"/>
    </w:rPr>
  </w:style>
  <w:style w:type="paragraph" w:styleId="5">
    <w:name w:val="annotation text"/>
    <w:basedOn w:val="1"/>
    <w:link w:val="30"/>
    <w:qFormat/>
    <w:uiPriority w:val="0"/>
    <w:pPr>
      <w:spacing w:after="200"/>
      <w:jc w:val="left"/>
    </w:pPr>
    <w:rPr>
      <w:lang w:eastAsia="en-US"/>
    </w:rPr>
  </w:style>
  <w:style w:type="paragraph" w:styleId="6">
    <w:name w:val="Date"/>
    <w:basedOn w:val="1"/>
    <w:next w:val="1"/>
    <w:link w:val="37"/>
    <w:unhideWhenUsed/>
    <w:qFormat/>
    <w:uiPriority w:val="99"/>
    <w:pPr>
      <w:ind w:left="100" w:leftChars="2500"/>
    </w:pPr>
  </w:style>
  <w:style w:type="paragraph" w:styleId="7">
    <w:name w:val="Balloon Text"/>
    <w:basedOn w:val="1"/>
    <w:link w:val="41"/>
    <w:semiHidden/>
    <w:unhideWhenUsed/>
    <w:uiPriority w:val="0"/>
    <w:rPr>
      <w:sz w:val="18"/>
      <w:szCs w:val="18"/>
    </w:rPr>
  </w:style>
  <w:style w:type="paragraph" w:styleId="8">
    <w:name w:val="footer"/>
    <w:basedOn w:val="1"/>
    <w:link w:val="32"/>
    <w:qFormat/>
    <w:uiPriority w:val="0"/>
    <w:pPr>
      <w:tabs>
        <w:tab w:val="center" w:pos="4153"/>
        <w:tab w:val="right" w:pos="8306"/>
      </w:tabs>
      <w:snapToGrid w:val="0"/>
      <w:jc w:val="left"/>
    </w:pPr>
    <w:rPr>
      <w:sz w:val="18"/>
      <w:szCs w:val="18"/>
    </w:rPr>
  </w:style>
  <w:style w:type="paragraph" w:styleId="9">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2">
    <w:name w:val="Strong"/>
    <w:qFormat/>
    <w:uiPriority w:val="22"/>
    <w:rPr>
      <w:b/>
      <w:bCs/>
    </w:rPr>
  </w:style>
  <w:style w:type="character" w:styleId="13">
    <w:name w:val="Hyperlink"/>
    <w:basedOn w:val="11"/>
    <w:qFormat/>
    <w:uiPriority w:val="0"/>
    <w:rPr>
      <w:color w:val="006500"/>
      <w:u w:val="none"/>
    </w:rPr>
  </w:style>
  <w:style w:type="paragraph" w:customStyle="1" w:styleId="15">
    <w:name w:val="正文文本缩进1"/>
    <w:basedOn w:val="1"/>
    <w:link w:val="31"/>
    <w:qFormat/>
    <w:uiPriority w:val="0"/>
    <w:pPr>
      <w:ind w:firstLine="420" w:firstLineChars="200"/>
    </w:pPr>
    <w:rPr>
      <w:szCs w:val="24"/>
    </w:rPr>
  </w:style>
  <w:style w:type="paragraph" w:customStyle="1" w:styleId="16">
    <w:name w:val="批注框文本 Char Char"/>
    <w:basedOn w:val="1"/>
    <w:link w:val="34"/>
    <w:qFormat/>
    <w:uiPriority w:val="0"/>
    <w:rPr>
      <w:sz w:val="18"/>
      <w:szCs w:val="18"/>
    </w:rPr>
  </w:style>
  <w:style w:type="paragraph" w:customStyle="1" w:styleId="17">
    <w:name w:val="一级条标题"/>
    <w:next w:val="18"/>
    <w:qFormat/>
    <w:uiPriority w:val="99"/>
    <w:pPr>
      <w:outlineLvl w:val="2"/>
    </w:pPr>
    <w:rPr>
      <w:rFonts w:ascii="Times New Roman" w:hAnsi="Times New Roman" w:eastAsia="黑体" w:cs="Times New Roman"/>
      <w:lang w:val="en-US" w:eastAsia="zh-CN" w:bidi="ar-SA"/>
    </w:rPr>
  </w:style>
  <w:style w:type="paragraph" w:customStyle="1" w:styleId="18">
    <w:name w:val="段"/>
    <w:link w:val="35"/>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9">
    <w:name w:val="普通(网站)1"/>
    <w:basedOn w:val="1"/>
    <w:qFormat/>
    <w:uiPriority w:val="0"/>
    <w:pPr>
      <w:widowControl/>
      <w:jc w:val="left"/>
    </w:pPr>
    <w:rPr>
      <w:rFonts w:ascii="宋体" w:hAnsi="宋体" w:cs="宋体"/>
      <w:color w:val="000000"/>
      <w:kern w:val="0"/>
      <w:sz w:val="24"/>
      <w:szCs w:val="24"/>
    </w:rPr>
  </w:style>
  <w:style w:type="paragraph" w:customStyle="1" w:styleId="20">
    <w:name w:val="二级条标题"/>
    <w:basedOn w:val="17"/>
    <w:next w:val="18"/>
    <w:qFormat/>
    <w:uiPriority w:val="0"/>
    <w:pPr>
      <w:outlineLvl w:val="3"/>
    </w:pPr>
  </w:style>
  <w:style w:type="paragraph" w:customStyle="1" w:styleId="21">
    <w:name w:val="四级条标题"/>
    <w:basedOn w:val="22"/>
    <w:next w:val="1"/>
    <w:qFormat/>
    <w:uiPriority w:val="0"/>
    <w:pPr>
      <w:outlineLvl w:val="5"/>
    </w:pPr>
  </w:style>
  <w:style w:type="paragraph" w:customStyle="1" w:styleId="22">
    <w:name w:val="三级条标题"/>
    <w:basedOn w:val="20"/>
    <w:next w:val="1"/>
    <w:qFormat/>
    <w:uiPriority w:val="0"/>
    <w:pPr>
      <w:outlineLvl w:val="4"/>
    </w:pPr>
  </w:style>
  <w:style w:type="paragraph" w:customStyle="1" w:styleId="23">
    <w:name w:val="五级条标题"/>
    <w:basedOn w:val="21"/>
    <w:next w:val="1"/>
    <w:qFormat/>
    <w:uiPriority w:val="0"/>
    <w:pPr>
      <w:outlineLvl w:val="6"/>
    </w:pPr>
  </w:style>
  <w:style w:type="paragraph" w:customStyle="1" w:styleId="24">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
    <w:name w:val="列出段落1"/>
    <w:basedOn w:val="1"/>
    <w:qFormat/>
    <w:uiPriority w:val="0"/>
    <w:pPr>
      <w:spacing w:line="360" w:lineRule="auto"/>
      <w:ind w:firstLine="420" w:firstLineChars="200"/>
    </w:pPr>
    <w:rPr>
      <w:rFonts w:ascii="Times New Roman" w:hAnsi="Times New Roman" w:eastAsia="仿宋_GB2312" w:cs="Times New Roman"/>
      <w:sz w:val="24"/>
      <w:szCs w:val="24"/>
    </w:rPr>
  </w:style>
  <w:style w:type="paragraph" w:customStyle="1" w:styleId="26">
    <w:name w:val="章标题"/>
    <w:next w:val="1"/>
    <w:qFormat/>
    <w:uiPriority w:val="99"/>
    <w:pPr>
      <w:spacing w:beforeLines="50" w:afterLines="50"/>
      <w:jc w:val="both"/>
      <w:outlineLvl w:val="1"/>
    </w:pPr>
    <w:rPr>
      <w:rFonts w:ascii="黑体" w:hAnsi="Times New Roman" w:eastAsia="黑体" w:cs="Times New Roman"/>
      <w:lang w:val="en-US" w:eastAsia="zh-CN" w:bidi="ar-SA"/>
    </w:rPr>
  </w:style>
  <w:style w:type="paragraph" w:customStyle="1" w:styleId="27">
    <w:name w:val="列出段落2"/>
    <w:basedOn w:val="1"/>
    <w:qFormat/>
    <w:uiPriority w:val="0"/>
    <w:pPr>
      <w:ind w:firstLine="420" w:firstLineChars="200"/>
    </w:pPr>
  </w:style>
  <w:style w:type="paragraph" w:customStyle="1" w:styleId="28">
    <w:name w:val="二级无"/>
    <w:basedOn w:val="20"/>
    <w:qFormat/>
    <w:uiPriority w:val="0"/>
    <w:pPr>
      <w:numPr>
        <w:ilvl w:val="2"/>
        <w:numId w:val="1"/>
      </w:numPr>
      <w:ind w:left="3828"/>
    </w:pPr>
    <w:rPr>
      <w:rFonts w:ascii="宋体" w:eastAsia="宋体"/>
      <w:sz w:val="21"/>
      <w:szCs w:val="21"/>
    </w:rPr>
  </w:style>
  <w:style w:type="character" w:customStyle="1" w:styleId="29">
    <w:name w:val="标题 2 Char"/>
    <w:basedOn w:val="11"/>
    <w:link w:val="2"/>
    <w:semiHidden/>
    <w:qFormat/>
    <w:uiPriority w:val="0"/>
    <w:rPr>
      <w:rFonts w:eastAsia="黑体"/>
      <w:bCs/>
      <w:kern w:val="2"/>
      <w:sz w:val="24"/>
      <w:szCs w:val="32"/>
    </w:rPr>
  </w:style>
  <w:style w:type="character" w:customStyle="1" w:styleId="30">
    <w:name w:val="批注文字 Char"/>
    <w:basedOn w:val="11"/>
    <w:link w:val="5"/>
    <w:qFormat/>
    <w:uiPriority w:val="0"/>
    <w:rPr>
      <w:rFonts w:ascii="Calibri" w:hAnsi="Calibri"/>
      <w:lang w:eastAsia="en-US"/>
    </w:rPr>
  </w:style>
  <w:style w:type="character" w:customStyle="1" w:styleId="31">
    <w:name w:val="正文文本缩进 Char"/>
    <w:basedOn w:val="11"/>
    <w:link w:val="15"/>
    <w:semiHidden/>
    <w:qFormat/>
    <w:uiPriority w:val="0"/>
    <w:rPr>
      <w:kern w:val="2"/>
      <w:sz w:val="21"/>
      <w:szCs w:val="24"/>
    </w:rPr>
  </w:style>
  <w:style w:type="character" w:customStyle="1" w:styleId="32">
    <w:name w:val="页脚 Char"/>
    <w:basedOn w:val="11"/>
    <w:link w:val="8"/>
    <w:semiHidden/>
    <w:qFormat/>
    <w:uiPriority w:val="0"/>
    <w:rPr>
      <w:sz w:val="18"/>
      <w:szCs w:val="18"/>
    </w:rPr>
  </w:style>
  <w:style w:type="character" w:customStyle="1" w:styleId="33">
    <w:name w:val="页眉 Char"/>
    <w:basedOn w:val="11"/>
    <w:link w:val="9"/>
    <w:semiHidden/>
    <w:qFormat/>
    <w:uiPriority w:val="0"/>
    <w:rPr>
      <w:sz w:val="18"/>
      <w:szCs w:val="18"/>
    </w:rPr>
  </w:style>
  <w:style w:type="character" w:customStyle="1" w:styleId="34">
    <w:name w:val="批注框文本 Char Char Char Char"/>
    <w:basedOn w:val="11"/>
    <w:link w:val="16"/>
    <w:semiHidden/>
    <w:qFormat/>
    <w:uiPriority w:val="0"/>
    <w:rPr>
      <w:sz w:val="18"/>
      <w:szCs w:val="18"/>
    </w:rPr>
  </w:style>
  <w:style w:type="character" w:customStyle="1" w:styleId="35">
    <w:name w:val="段 Char Char"/>
    <w:basedOn w:val="11"/>
    <w:link w:val="18"/>
    <w:qFormat/>
    <w:uiPriority w:val="99"/>
    <w:rPr>
      <w:rFonts w:ascii="宋体"/>
      <w:sz w:val="21"/>
      <w:lang w:val="en-US" w:eastAsia="zh-CN" w:bidi="ar-SA"/>
    </w:rPr>
  </w:style>
  <w:style w:type="character" w:customStyle="1" w:styleId="36">
    <w:name w:val="批注引用1"/>
    <w:basedOn w:val="11"/>
    <w:qFormat/>
    <w:uiPriority w:val="0"/>
    <w:rPr>
      <w:rFonts w:cs="Times New Roman"/>
      <w:sz w:val="16"/>
      <w:szCs w:val="16"/>
    </w:rPr>
  </w:style>
  <w:style w:type="character" w:customStyle="1" w:styleId="37">
    <w:name w:val="日期 Char"/>
    <w:basedOn w:val="11"/>
    <w:link w:val="6"/>
    <w:semiHidden/>
    <w:qFormat/>
    <w:uiPriority w:val="99"/>
    <w:rPr>
      <w:rFonts w:ascii="Calibri" w:hAnsi="Calibri" w:cs="黑体"/>
      <w:kern w:val="2"/>
      <w:sz w:val="21"/>
      <w:szCs w:val="22"/>
    </w:rPr>
  </w:style>
  <w:style w:type="character" w:customStyle="1" w:styleId="38">
    <w:name w:val="段 Char"/>
    <w:qFormat/>
    <w:uiPriority w:val="99"/>
    <w:rPr>
      <w:rFonts w:ascii="宋体"/>
      <w:sz w:val="21"/>
      <w:lang w:val="en-US" w:eastAsia="zh-CN" w:bidi="ar-SA"/>
    </w:rPr>
  </w:style>
  <w:style w:type="paragraph" w:customStyle="1" w:styleId="39">
    <w:name w:val="列出段落3"/>
    <w:basedOn w:val="1"/>
    <w:unhideWhenUsed/>
    <w:qFormat/>
    <w:uiPriority w:val="99"/>
    <w:pPr>
      <w:ind w:firstLine="420" w:firstLineChars="200"/>
    </w:pPr>
  </w:style>
  <w:style w:type="character" w:customStyle="1" w:styleId="40">
    <w:name w:val="题注 Char"/>
    <w:link w:val="4"/>
    <w:qFormat/>
    <w:uiPriority w:val="0"/>
    <w:rPr>
      <w:rFonts w:ascii="Arial" w:hAnsi="Arial" w:eastAsia="黑体" w:cs="Arial"/>
      <w:b/>
      <w:sz w:val="24"/>
      <w:szCs w:val="24"/>
    </w:rPr>
  </w:style>
  <w:style w:type="character" w:customStyle="1" w:styleId="41">
    <w:name w:val="批注框文本 Char"/>
    <w:basedOn w:val="11"/>
    <w:link w:val="7"/>
    <w:semiHidden/>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766</Words>
  <Characters>4369</Characters>
  <Lines>36</Lines>
  <Paragraphs>10</Paragraphs>
  <ScaleCrop>false</ScaleCrop>
  <LinksUpToDate>false</LinksUpToDate>
  <CharactersWithSpaces>5125</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2018-01-18T02:25:00Z</dcterms:created>
  <dc:creator>Administrator</dc:creator>
  <cp:lastModifiedBy>gy2</cp:lastModifiedBy>
  <dcterms:modified xsi:type="dcterms:W3CDTF">2018-06-04T06:06:14Z</dcterms:modified>
  <dc:subject>编制说明</dc:subject>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