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30EA5" w14:textId="114A286B" w:rsidR="00EF69DC" w:rsidRPr="00595B89" w:rsidRDefault="00000000" w:rsidP="00595B89">
      <w:pPr>
        <w:autoSpaceDE w:val="0"/>
        <w:autoSpaceDN w:val="0"/>
        <w:spacing w:line="240" w:lineRule="auto"/>
        <w:ind w:firstLineChars="0" w:firstLine="0"/>
        <w:jc w:val="left"/>
        <w:rPr>
          <w:rFonts w:ascii="仿宋_GB2312" w:cs="黑体"/>
          <w:color w:val="000000"/>
          <w:kern w:val="0"/>
          <w:sz w:val="32"/>
          <w:szCs w:val="32"/>
          <w14:ligatures w14:val="none"/>
        </w:rPr>
      </w:pPr>
      <w:bookmarkStart w:id="0" w:name="_Toc30355"/>
      <w:bookmarkStart w:id="1" w:name="_Toc23008"/>
      <w:bookmarkStart w:id="2" w:name="_Toc20502"/>
      <w:bookmarkStart w:id="3" w:name="_Toc30296"/>
      <w:bookmarkStart w:id="4" w:name="_Toc7844"/>
      <w:bookmarkStart w:id="5" w:name="_Toc28294"/>
      <w:bookmarkStart w:id="6" w:name="_Toc31470"/>
      <w:bookmarkStart w:id="7" w:name="_Toc5550"/>
      <w:bookmarkStart w:id="8" w:name="_Toc13704"/>
      <w:bookmarkStart w:id="9" w:name="_Toc18624"/>
      <w:bookmarkStart w:id="10" w:name="_Toc24831"/>
      <w:bookmarkStart w:id="11" w:name="_Toc2004671765"/>
      <w:r w:rsidRPr="00595B89">
        <w:rPr>
          <w:rFonts w:ascii="仿宋_GB2312" w:cs="黑体" w:hint="eastAsia"/>
          <w:color w:val="000000"/>
          <w:kern w:val="0"/>
          <w:sz w:val="32"/>
          <w:szCs w:val="32"/>
          <w14:ligatures w14:val="none"/>
        </w:rPr>
        <w:t>附件1：</w:t>
      </w:r>
    </w:p>
    <w:p w14:paraId="0F957961" w14:textId="77777777" w:rsidR="00EF69DC" w:rsidRPr="00595B89" w:rsidRDefault="00000000" w:rsidP="00595B89">
      <w:pPr>
        <w:spacing w:line="560" w:lineRule="exact"/>
        <w:ind w:firstLineChars="0" w:firstLine="0"/>
        <w:jc w:val="center"/>
        <w:rPr>
          <w:rFonts w:ascii="方正小标宋简体" w:eastAsia="方正小标宋简体" w:cs="Times New Roman"/>
          <w:color w:val="000000"/>
          <w:sz w:val="44"/>
          <w:szCs w:val="44"/>
          <w14:ligatures w14:val="none"/>
        </w:rPr>
      </w:pPr>
      <w:r w:rsidRPr="00595B89">
        <w:rPr>
          <w:rFonts w:ascii="方正小标宋简体" w:eastAsia="方正小标宋简体" w:cs="Times New Roman" w:hint="eastAsia"/>
          <w:color w:val="000000"/>
          <w:sz w:val="44"/>
          <w:szCs w:val="44"/>
          <w14:ligatures w14:val="none"/>
        </w:rPr>
        <w:t>广州市</w:t>
      </w:r>
      <w:bookmarkEnd w:id="0"/>
      <w:bookmarkEnd w:id="1"/>
      <w:bookmarkEnd w:id="2"/>
      <w:bookmarkEnd w:id="3"/>
      <w:bookmarkEnd w:id="4"/>
      <w:bookmarkEnd w:id="5"/>
      <w:bookmarkEnd w:id="6"/>
      <w:bookmarkEnd w:id="7"/>
      <w:bookmarkEnd w:id="8"/>
      <w:bookmarkEnd w:id="9"/>
      <w:bookmarkEnd w:id="10"/>
      <w:bookmarkEnd w:id="11"/>
      <w:r w:rsidRPr="00595B89">
        <w:rPr>
          <w:rFonts w:ascii="方正小标宋简体" w:eastAsia="方正小标宋简体" w:cs="Times New Roman" w:hint="eastAsia"/>
          <w:color w:val="000000"/>
          <w:sz w:val="44"/>
          <w:szCs w:val="44"/>
          <w14:ligatures w14:val="none"/>
        </w:rPr>
        <w:t>与广州交投简介</w:t>
      </w:r>
    </w:p>
    <w:p w14:paraId="745E42DF" w14:textId="77777777" w:rsidR="00EF69DC" w:rsidRDefault="00000000" w:rsidP="009628CF">
      <w:pPr>
        <w:overflowPunct w:val="0"/>
        <w:topLinePunct/>
        <w:spacing w:line="300" w:lineRule="exact"/>
        <w:ind w:firstLine="480"/>
        <w:textAlignment w:val="center"/>
        <w:rPr>
          <w:rFonts w:eastAsia="仿宋" w:cs="Times New Roman"/>
          <w:color w:val="000000"/>
          <w:sz w:val="24"/>
        </w:rPr>
      </w:pPr>
      <w:bookmarkStart w:id="12" w:name="OLE_LINK4"/>
      <w:r>
        <w:rPr>
          <w:rFonts w:eastAsia="仿宋" w:cs="Times New Roman"/>
          <w:color w:val="000000"/>
          <w:sz w:val="24"/>
        </w:rPr>
        <w:t>广州拥有</w:t>
      </w:r>
      <w:r>
        <w:rPr>
          <w:rFonts w:eastAsia="仿宋" w:cs="Times New Roman"/>
          <w:color w:val="000000"/>
          <w:sz w:val="24"/>
        </w:rPr>
        <w:t>223</w:t>
      </w:r>
      <w:r>
        <w:rPr>
          <w:rFonts w:eastAsia="仿宋" w:cs="Times New Roman" w:hint="eastAsia"/>
          <w:color w:val="000000"/>
          <w:sz w:val="24"/>
        </w:rPr>
        <w:t>8</w:t>
      </w:r>
      <w:r>
        <w:rPr>
          <w:rFonts w:eastAsia="仿宋" w:cs="Times New Roman"/>
          <w:color w:val="000000"/>
          <w:sz w:val="24"/>
        </w:rPr>
        <w:t>年建城史，被誉为</w:t>
      </w:r>
      <w:r>
        <w:rPr>
          <w:rFonts w:eastAsia="仿宋" w:cs="Times New Roman" w:hint="eastAsia"/>
          <w:color w:val="000000"/>
          <w:sz w:val="24"/>
        </w:rPr>
        <w:t>“</w:t>
      </w:r>
      <w:r>
        <w:rPr>
          <w:rFonts w:eastAsia="仿宋" w:cs="Times New Roman"/>
          <w:color w:val="000000"/>
          <w:sz w:val="24"/>
        </w:rPr>
        <w:t>千年商都</w:t>
      </w:r>
      <w:r>
        <w:rPr>
          <w:rFonts w:eastAsia="仿宋" w:cs="Times New Roman" w:hint="eastAsia"/>
          <w:color w:val="000000"/>
          <w:sz w:val="24"/>
        </w:rPr>
        <w:t>”</w:t>
      </w:r>
      <w:r>
        <w:rPr>
          <w:rFonts w:eastAsia="仿宋" w:cs="Times New Roman"/>
          <w:color w:val="000000"/>
          <w:sz w:val="24"/>
        </w:rPr>
        <w:t>，是全国首批历史文化名城，海上丝绸之路发祥地、岭南文化中心地、民主革命策源地和改革开放排头兵。</w:t>
      </w:r>
      <w:r>
        <w:rPr>
          <w:rFonts w:eastAsia="仿宋" w:cs="Times New Roman" w:hint="eastAsia"/>
          <w:color w:val="000000"/>
          <w:sz w:val="24"/>
        </w:rPr>
        <w:t>广州全市</w:t>
      </w:r>
      <w:proofErr w:type="gramStart"/>
      <w:r>
        <w:rPr>
          <w:rFonts w:eastAsia="仿宋" w:cs="Times New Roman" w:hint="eastAsia"/>
          <w:color w:val="000000"/>
          <w:sz w:val="24"/>
        </w:rPr>
        <w:t>辖</w:t>
      </w:r>
      <w:proofErr w:type="gramEnd"/>
      <w:r>
        <w:rPr>
          <w:rFonts w:eastAsia="仿宋" w:cs="Times New Roman" w:hint="eastAsia"/>
          <w:color w:val="000000"/>
          <w:sz w:val="24"/>
        </w:rPr>
        <w:t>11</w:t>
      </w:r>
      <w:r>
        <w:rPr>
          <w:rFonts w:eastAsia="仿宋" w:cs="Times New Roman" w:hint="eastAsia"/>
          <w:color w:val="000000"/>
          <w:sz w:val="24"/>
        </w:rPr>
        <w:t>个区，</w:t>
      </w:r>
      <w:r>
        <w:rPr>
          <w:rFonts w:eastAsia="仿宋" w:cs="Times New Roman" w:hint="eastAsia"/>
          <w:color w:val="000000"/>
          <w:sz w:val="24"/>
        </w:rPr>
        <w:t>177</w:t>
      </w:r>
      <w:r>
        <w:rPr>
          <w:rFonts w:eastAsia="仿宋" w:cs="Times New Roman" w:hint="eastAsia"/>
          <w:color w:val="000000"/>
          <w:sz w:val="24"/>
        </w:rPr>
        <w:t>个镇（街）。</w:t>
      </w:r>
      <w:r>
        <w:rPr>
          <w:rFonts w:eastAsia="仿宋" w:cs="Times New Roman" w:hint="eastAsia"/>
          <w:color w:val="000000"/>
          <w:sz w:val="24"/>
        </w:rPr>
        <w:t>2024</w:t>
      </w:r>
      <w:r>
        <w:rPr>
          <w:rFonts w:eastAsia="仿宋" w:cs="Times New Roman" w:hint="eastAsia"/>
          <w:color w:val="000000"/>
          <w:sz w:val="24"/>
        </w:rPr>
        <w:t>年广州市地区生产总值</w:t>
      </w:r>
      <w:r>
        <w:rPr>
          <w:rFonts w:eastAsia="仿宋" w:cs="Times New Roman" w:hint="eastAsia"/>
          <w:color w:val="000000"/>
          <w:sz w:val="24"/>
        </w:rPr>
        <w:t>31032.50</w:t>
      </w:r>
      <w:r>
        <w:rPr>
          <w:rFonts w:eastAsia="仿宋" w:cs="Times New Roman" w:hint="eastAsia"/>
          <w:color w:val="000000"/>
          <w:sz w:val="24"/>
        </w:rPr>
        <w:t>亿元，居全国第五；固定资产投资完成</w:t>
      </w:r>
      <w:r>
        <w:rPr>
          <w:rFonts w:eastAsia="仿宋" w:cs="Times New Roman" w:hint="eastAsia"/>
          <w:color w:val="000000"/>
          <w:sz w:val="24"/>
        </w:rPr>
        <w:t>8638.08</w:t>
      </w:r>
      <w:r>
        <w:rPr>
          <w:rFonts w:eastAsia="仿宋" w:cs="Times New Roman" w:hint="eastAsia"/>
          <w:color w:val="000000"/>
          <w:sz w:val="24"/>
        </w:rPr>
        <w:t>亿元；社会消费品零售总额</w:t>
      </w:r>
      <w:r>
        <w:rPr>
          <w:rFonts w:eastAsia="仿宋" w:cs="Times New Roman" w:hint="eastAsia"/>
          <w:color w:val="000000"/>
          <w:sz w:val="24"/>
        </w:rPr>
        <w:t>11055.77</w:t>
      </w:r>
      <w:r>
        <w:rPr>
          <w:rFonts w:eastAsia="仿宋" w:cs="Times New Roman" w:hint="eastAsia"/>
          <w:color w:val="000000"/>
          <w:sz w:val="24"/>
        </w:rPr>
        <w:t>亿元，居全国第四；进出口</w:t>
      </w:r>
      <w:r>
        <w:rPr>
          <w:rFonts w:eastAsia="仿宋" w:cs="Times New Roman" w:hint="eastAsia"/>
          <w:color w:val="000000"/>
          <w:sz w:val="24"/>
        </w:rPr>
        <w:t>11238.38</w:t>
      </w:r>
      <w:r>
        <w:rPr>
          <w:rFonts w:eastAsia="仿宋" w:cs="Times New Roman" w:hint="eastAsia"/>
          <w:color w:val="000000"/>
          <w:sz w:val="24"/>
        </w:rPr>
        <w:t>亿元，居全国第七；城镇居民人均可支配收入达</w:t>
      </w:r>
      <w:r>
        <w:rPr>
          <w:rFonts w:eastAsia="仿宋" w:cs="Times New Roman" w:hint="eastAsia"/>
          <w:color w:val="000000"/>
          <w:sz w:val="24"/>
        </w:rPr>
        <w:t>83436</w:t>
      </w:r>
      <w:r>
        <w:rPr>
          <w:rFonts w:eastAsia="仿宋" w:cs="Times New Roman" w:hint="eastAsia"/>
          <w:color w:val="000000"/>
          <w:sz w:val="24"/>
        </w:rPr>
        <w:t>元，农村居民人均可支配收入达</w:t>
      </w:r>
      <w:r>
        <w:rPr>
          <w:rFonts w:eastAsia="仿宋" w:cs="Times New Roman" w:hint="eastAsia"/>
          <w:color w:val="000000"/>
          <w:sz w:val="24"/>
        </w:rPr>
        <w:t>40914</w:t>
      </w:r>
      <w:r>
        <w:rPr>
          <w:rFonts w:eastAsia="仿宋" w:cs="Times New Roman" w:hint="eastAsia"/>
          <w:color w:val="000000"/>
          <w:sz w:val="24"/>
        </w:rPr>
        <w:t>元。</w:t>
      </w:r>
    </w:p>
    <w:p w14:paraId="5F384D89" w14:textId="77777777" w:rsidR="00EF69DC" w:rsidRDefault="00000000" w:rsidP="009628CF">
      <w:pPr>
        <w:overflowPunct w:val="0"/>
        <w:topLinePunct/>
        <w:spacing w:line="300" w:lineRule="exact"/>
        <w:ind w:firstLine="480"/>
        <w:textAlignment w:val="center"/>
        <w:rPr>
          <w:rFonts w:eastAsia="仿宋" w:cs="Times New Roman"/>
          <w:color w:val="000000"/>
          <w:sz w:val="24"/>
        </w:rPr>
      </w:pPr>
      <w:r>
        <w:rPr>
          <w:rFonts w:eastAsia="仿宋" w:cs="Times New Roman"/>
          <w:color w:val="000000"/>
          <w:sz w:val="24"/>
        </w:rPr>
        <w:t>广州总面积</w:t>
      </w:r>
      <w:r>
        <w:rPr>
          <w:rFonts w:eastAsia="仿宋" w:cs="Times New Roman"/>
          <w:color w:val="000000"/>
          <w:sz w:val="24"/>
        </w:rPr>
        <w:t>7434.4</w:t>
      </w:r>
      <w:r>
        <w:rPr>
          <w:rFonts w:eastAsia="仿宋" w:cs="Times New Roman"/>
          <w:color w:val="000000"/>
          <w:sz w:val="24"/>
        </w:rPr>
        <w:t>平方公里，全域均属于优化开发区域，核心功能定位是国际商贸中心、全国先进制造业基地、综合性门户、国际科技创新中心重要承载地。广州港是华南地区最大的综合性主枢纽港，</w:t>
      </w:r>
      <w:r>
        <w:rPr>
          <w:rFonts w:eastAsia="仿宋" w:cs="Times New Roman"/>
          <w:color w:val="000000"/>
          <w:sz w:val="24"/>
        </w:rPr>
        <w:t>202</w:t>
      </w:r>
      <w:r>
        <w:rPr>
          <w:rFonts w:eastAsia="仿宋" w:cs="Times New Roman" w:hint="eastAsia"/>
          <w:color w:val="000000"/>
          <w:sz w:val="24"/>
        </w:rPr>
        <w:t>4</w:t>
      </w:r>
      <w:r>
        <w:rPr>
          <w:rFonts w:eastAsia="仿宋" w:cs="Times New Roman"/>
          <w:color w:val="000000"/>
          <w:sz w:val="24"/>
        </w:rPr>
        <w:t>年货物吞吐量</w:t>
      </w:r>
      <w:r>
        <w:rPr>
          <w:rFonts w:eastAsia="仿宋" w:cs="Times New Roman"/>
          <w:color w:val="000000"/>
          <w:sz w:val="24"/>
        </w:rPr>
        <w:t>6.</w:t>
      </w:r>
      <w:r>
        <w:rPr>
          <w:rFonts w:eastAsia="仿宋" w:cs="Times New Roman" w:hint="eastAsia"/>
          <w:color w:val="000000"/>
          <w:sz w:val="24"/>
        </w:rPr>
        <w:t>87</w:t>
      </w:r>
      <w:r>
        <w:rPr>
          <w:rFonts w:eastAsia="仿宋" w:cs="Times New Roman"/>
          <w:color w:val="000000"/>
          <w:sz w:val="24"/>
        </w:rPr>
        <w:t>亿吨，集装箱吞吐量</w:t>
      </w:r>
      <w:r>
        <w:rPr>
          <w:rFonts w:eastAsia="仿宋" w:cs="Times New Roman" w:hint="eastAsia"/>
          <w:color w:val="000000"/>
          <w:sz w:val="24"/>
        </w:rPr>
        <w:t>2645.13</w:t>
      </w:r>
      <w:r>
        <w:rPr>
          <w:rFonts w:eastAsia="仿宋" w:cs="Times New Roman"/>
          <w:color w:val="000000"/>
          <w:sz w:val="24"/>
        </w:rPr>
        <w:t>万标箱，分别居全球港口第五和第六位。广州白云国际机场是全国三大国际枢纽机场之一，</w:t>
      </w:r>
      <w:r>
        <w:rPr>
          <w:rFonts w:eastAsia="仿宋" w:cs="Times New Roman"/>
          <w:color w:val="000000"/>
          <w:sz w:val="24"/>
        </w:rPr>
        <w:t>202</w:t>
      </w:r>
      <w:r>
        <w:rPr>
          <w:rFonts w:eastAsia="仿宋" w:cs="Times New Roman" w:hint="eastAsia"/>
          <w:color w:val="000000"/>
          <w:sz w:val="24"/>
        </w:rPr>
        <w:t>4</w:t>
      </w:r>
      <w:r>
        <w:rPr>
          <w:rFonts w:eastAsia="仿宋" w:cs="Times New Roman"/>
          <w:color w:val="000000"/>
          <w:sz w:val="24"/>
        </w:rPr>
        <w:t>年旅客吞吐量</w:t>
      </w:r>
      <w:r>
        <w:rPr>
          <w:rFonts w:eastAsia="仿宋" w:cs="Times New Roman" w:hint="eastAsia"/>
          <w:color w:val="000000"/>
          <w:sz w:val="24"/>
        </w:rPr>
        <w:t>7636.93</w:t>
      </w:r>
      <w:r>
        <w:rPr>
          <w:rFonts w:eastAsia="仿宋" w:cs="Times New Roman"/>
          <w:color w:val="000000"/>
          <w:sz w:val="24"/>
        </w:rPr>
        <w:t>万人次（</w:t>
      </w:r>
      <w:r>
        <w:rPr>
          <w:rFonts w:eastAsia="仿宋" w:cs="Times New Roman"/>
          <w:color w:val="000000"/>
          <w:sz w:val="24"/>
        </w:rPr>
        <w:t>2019</w:t>
      </w:r>
      <w:r>
        <w:rPr>
          <w:rFonts w:eastAsia="仿宋" w:cs="Times New Roman"/>
          <w:color w:val="000000"/>
          <w:sz w:val="24"/>
        </w:rPr>
        <w:t>年</w:t>
      </w:r>
      <w:r>
        <w:rPr>
          <w:rFonts w:eastAsia="仿宋" w:cs="Times New Roman"/>
          <w:color w:val="000000"/>
          <w:sz w:val="24"/>
        </w:rPr>
        <w:t>7338.6</w:t>
      </w:r>
      <w:r>
        <w:rPr>
          <w:rFonts w:eastAsia="仿宋" w:cs="Times New Roman"/>
          <w:color w:val="000000"/>
          <w:sz w:val="24"/>
        </w:rPr>
        <w:t>万人次），</w:t>
      </w:r>
      <w:r>
        <w:rPr>
          <w:rFonts w:eastAsia="仿宋" w:cs="Times New Roman" w:hint="eastAsia"/>
          <w:color w:val="000000"/>
          <w:sz w:val="24"/>
        </w:rPr>
        <w:t>继</w:t>
      </w:r>
      <w:r>
        <w:rPr>
          <w:rFonts w:eastAsia="仿宋" w:cs="Times New Roman" w:hint="eastAsia"/>
          <w:color w:val="000000"/>
          <w:sz w:val="24"/>
        </w:rPr>
        <w:t>2019</w:t>
      </w:r>
      <w:r>
        <w:rPr>
          <w:rFonts w:eastAsia="仿宋" w:cs="Times New Roman" w:hint="eastAsia"/>
          <w:color w:val="000000"/>
          <w:sz w:val="24"/>
        </w:rPr>
        <w:t>年后再次突破</w:t>
      </w:r>
      <w:r>
        <w:rPr>
          <w:rFonts w:eastAsia="仿宋" w:cs="Times New Roman" w:hint="eastAsia"/>
          <w:color w:val="000000"/>
          <w:sz w:val="24"/>
        </w:rPr>
        <w:t>7000</w:t>
      </w:r>
      <w:r>
        <w:rPr>
          <w:rFonts w:eastAsia="仿宋" w:cs="Times New Roman" w:hint="eastAsia"/>
          <w:color w:val="000000"/>
          <w:sz w:val="24"/>
        </w:rPr>
        <w:t>万人次，</w:t>
      </w:r>
      <w:r>
        <w:rPr>
          <w:rFonts w:eastAsia="仿宋" w:cs="Times New Roman"/>
          <w:color w:val="000000"/>
          <w:sz w:val="24"/>
        </w:rPr>
        <w:t>居全国单体机场第</w:t>
      </w:r>
      <w:r>
        <w:rPr>
          <w:rFonts w:eastAsia="仿宋" w:cs="Times New Roman" w:hint="eastAsia"/>
          <w:color w:val="000000"/>
          <w:sz w:val="24"/>
        </w:rPr>
        <w:t>二；</w:t>
      </w:r>
      <w:r>
        <w:rPr>
          <w:rFonts w:eastAsia="仿宋" w:cs="Times New Roman"/>
          <w:color w:val="000000"/>
          <w:sz w:val="24"/>
        </w:rPr>
        <w:t>货邮吞吐量</w:t>
      </w:r>
      <w:r>
        <w:rPr>
          <w:rFonts w:eastAsia="仿宋" w:cs="Times New Roman" w:hint="eastAsia"/>
          <w:color w:val="000000"/>
          <w:sz w:val="24"/>
        </w:rPr>
        <w:t>238.25</w:t>
      </w:r>
      <w:r>
        <w:rPr>
          <w:rFonts w:eastAsia="仿宋" w:cs="Times New Roman"/>
          <w:color w:val="000000"/>
          <w:sz w:val="24"/>
        </w:rPr>
        <w:t>万吨，居全国第二。广州铁路枢纽是全国四大铁路枢纽之一，地铁总里程达</w:t>
      </w:r>
      <w:r>
        <w:rPr>
          <w:rFonts w:eastAsia="仿宋" w:cs="Times New Roman" w:hint="eastAsia"/>
          <w:color w:val="000000"/>
          <w:sz w:val="24"/>
        </w:rPr>
        <w:t>705</w:t>
      </w:r>
      <w:r>
        <w:rPr>
          <w:rFonts w:eastAsia="仿宋" w:cs="Times New Roman"/>
          <w:color w:val="000000"/>
          <w:sz w:val="24"/>
        </w:rPr>
        <w:t>公里，居全国第三。</w:t>
      </w:r>
      <w:r>
        <w:rPr>
          <w:rFonts w:eastAsia="仿宋" w:cs="Times New Roman" w:hint="eastAsia"/>
          <w:color w:val="000000"/>
          <w:sz w:val="24"/>
        </w:rPr>
        <w:t>广州</w:t>
      </w:r>
      <w:r>
        <w:rPr>
          <w:rFonts w:eastAsia="仿宋" w:cs="Times New Roman"/>
          <w:color w:val="000000"/>
          <w:sz w:val="24"/>
        </w:rPr>
        <w:t>拥有</w:t>
      </w:r>
      <w:r>
        <w:rPr>
          <w:rFonts w:eastAsia="仿宋" w:cs="Times New Roman" w:hint="eastAsia"/>
          <w:color w:val="000000"/>
          <w:sz w:val="24"/>
        </w:rPr>
        <w:t>四</w:t>
      </w:r>
      <w:r>
        <w:rPr>
          <w:rFonts w:eastAsia="仿宋" w:cs="Times New Roman"/>
          <w:color w:val="000000"/>
          <w:sz w:val="24"/>
        </w:rPr>
        <w:t>大国家级经开区</w:t>
      </w:r>
      <w:r>
        <w:rPr>
          <w:rFonts w:eastAsia="仿宋" w:cs="Times New Roman" w:hint="eastAsia"/>
          <w:color w:val="000000"/>
          <w:sz w:val="24"/>
        </w:rPr>
        <w:t>（</w:t>
      </w:r>
      <w:r>
        <w:rPr>
          <w:rFonts w:eastAsia="仿宋" w:cs="Times New Roman"/>
          <w:color w:val="000000"/>
          <w:sz w:val="24"/>
        </w:rPr>
        <w:t>广州经济技术开发区、南沙经济技术开发区、增城经济技术开发区</w:t>
      </w:r>
      <w:r>
        <w:rPr>
          <w:rFonts w:eastAsia="仿宋" w:cs="Times New Roman" w:hint="eastAsia"/>
          <w:color w:val="000000"/>
          <w:sz w:val="24"/>
        </w:rPr>
        <w:t>、花都经济技术开发区）</w:t>
      </w:r>
      <w:r>
        <w:rPr>
          <w:rFonts w:eastAsia="仿宋" w:cs="Times New Roman"/>
          <w:color w:val="000000"/>
          <w:sz w:val="24"/>
        </w:rPr>
        <w:t>，</w:t>
      </w:r>
      <w:r>
        <w:rPr>
          <w:rFonts w:eastAsia="仿宋" w:cs="Times New Roman" w:hint="eastAsia"/>
          <w:color w:val="000000"/>
          <w:sz w:val="24"/>
        </w:rPr>
        <w:t>有</w:t>
      </w:r>
      <w:r>
        <w:rPr>
          <w:rFonts w:eastAsia="仿宋" w:cs="Times New Roman" w:hint="eastAsia"/>
          <w:color w:val="000000"/>
          <w:sz w:val="24"/>
        </w:rPr>
        <w:t>12</w:t>
      </w:r>
      <w:r>
        <w:rPr>
          <w:rFonts w:eastAsia="仿宋" w:cs="Times New Roman" w:hint="eastAsia"/>
          <w:color w:val="000000"/>
          <w:sz w:val="24"/>
        </w:rPr>
        <w:t>个千亿级战略性产业集群、</w:t>
      </w:r>
      <w:r>
        <w:rPr>
          <w:rFonts w:eastAsia="仿宋" w:cs="Times New Roman" w:hint="eastAsia"/>
          <w:color w:val="000000"/>
          <w:sz w:val="24"/>
        </w:rPr>
        <w:t>9</w:t>
      </w:r>
      <w:r>
        <w:rPr>
          <w:rFonts w:eastAsia="仿宋" w:cs="Times New Roman" w:hint="eastAsia"/>
          <w:color w:val="000000"/>
          <w:sz w:val="24"/>
        </w:rPr>
        <w:t>个千亿级服务行业</w:t>
      </w:r>
      <w:r>
        <w:rPr>
          <w:rFonts w:eastAsia="仿宋" w:cs="Times New Roman"/>
          <w:color w:val="000000"/>
          <w:sz w:val="24"/>
        </w:rPr>
        <w:t>。拥有高新技术企业</w:t>
      </w:r>
      <w:r>
        <w:rPr>
          <w:rFonts w:eastAsia="仿宋" w:cs="Times New Roman"/>
          <w:color w:val="000000"/>
          <w:sz w:val="24"/>
        </w:rPr>
        <w:t>1.</w:t>
      </w:r>
      <w:r>
        <w:rPr>
          <w:rFonts w:eastAsia="仿宋" w:cs="Times New Roman" w:hint="eastAsia"/>
          <w:color w:val="000000"/>
          <w:sz w:val="24"/>
        </w:rPr>
        <w:t>35</w:t>
      </w:r>
      <w:r>
        <w:rPr>
          <w:rFonts w:eastAsia="仿宋" w:cs="Times New Roman"/>
          <w:color w:val="000000"/>
          <w:sz w:val="24"/>
        </w:rPr>
        <w:t>万家，在库</w:t>
      </w:r>
      <w:r>
        <w:rPr>
          <w:rFonts w:eastAsia="仿宋" w:cs="Times New Roman" w:hint="eastAsia"/>
          <w:color w:val="000000"/>
          <w:sz w:val="24"/>
        </w:rPr>
        <w:t>“</w:t>
      </w:r>
      <w:r>
        <w:rPr>
          <w:rFonts w:eastAsia="仿宋" w:cs="Times New Roman"/>
          <w:color w:val="000000"/>
          <w:sz w:val="24"/>
        </w:rPr>
        <w:t>四上</w:t>
      </w:r>
      <w:r>
        <w:rPr>
          <w:rFonts w:eastAsia="仿宋" w:cs="Times New Roman" w:hint="eastAsia"/>
          <w:color w:val="000000"/>
          <w:sz w:val="24"/>
        </w:rPr>
        <w:t>”</w:t>
      </w:r>
      <w:r>
        <w:rPr>
          <w:rFonts w:eastAsia="仿宋" w:cs="Times New Roman"/>
          <w:color w:val="000000"/>
          <w:sz w:val="24"/>
        </w:rPr>
        <w:t>企业</w:t>
      </w:r>
      <w:r>
        <w:rPr>
          <w:rFonts w:eastAsia="仿宋" w:cs="Times New Roman" w:hint="eastAsia"/>
          <w:color w:val="000000"/>
          <w:sz w:val="24"/>
        </w:rPr>
        <w:t>49778</w:t>
      </w:r>
      <w:r>
        <w:rPr>
          <w:rFonts w:eastAsia="仿宋" w:cs="Times New Roman"/>
          <w:color w:val="000000"/>
          <w:sz w:val="24"/>
        </w:rPr>
        <w:t>家，累计认定专精特新小巨人</w:t>
      </w:r>
      <w:r>
        <w:rPr>
          <w:rFonts w:eastAsia="仿宋" w:cs="Times New Roman" w:hint="eastAsia"/>
          <w:color w:val="000000"/>
          <w:sz w:val="24"/>
        </w:rPr>
        <w:t>354</w:t>
      </w:r>
      <w:r>
        <w:rPr>
          <w:rFonts w:eastAsia="仿宋" w:cs="Times New Roman"/>
          <w:color w:val="000000"/>
          <w:sz w:val="24"/>
        </w:rPr>
        <w:t>家，拥有全球独角兽企业</w:t>
      </w:r>
      <w:r>
        <w:rPr>
          <w:rFonts w:eastAsia="仿宋" w:cs="Times New Roman"/>
          <w:color w:val="000000"/>
          <w:sz w:val="24"/>
        </w:rPr>
        <w:t>2</w:t>
      </w:r>
      <w:r>
        <w:rPr>
          <w:rFonts w:eastAsia="仿宋" w:cs="Times New Roman" w:hint="eastAsia"/>
          <w:color w:val="000000"/>
          <w:sz w:val="24"/>
        </w:rPr>
        <w:t>4</w:t>
      </w:r>
      <w:r>
        <w:rPr>
          <w:rFonts w:eastAsia="仿宋" w:cs="Times New Roman"/>
          <w:color w:val="000000"/>
          <w:sz w:val="24"/>
        </w:rPr>
        <w:t>家。</w:t>
      </w:r>
    </w:p>
    <w:p w14:paraId="0E036999" w14:textId="77777777" w:rsidR="00EF69DC" w:rsidRDefault="00000000" w:rsidP="009628CF">
      <w:pPr>
        <w:overflowPunct w:val="0"/>
        <w:topLinePunct/>
        <w:spacing w:line="300" w:lineRule="exact"/>
        <w:ind w:firstLine="480"/>
        <w:textAlignment w:val="center"/>
        <w:rPr>
          <w:rFonts w:eastAsia="仿宋" w:cs="Times New Roman"/>
          <w:color w:val="000000"/>
          <w:sz w:val="24"/>
        </w:rPr>
      </w:pPr>
      <w:r>
        <w:rPr>
          <w:rFonts w:eastAsia="仿宋" w:cs="Times New Roman" w:hint="eastAsia"/>
          <w:color w:val="000000"/>
          <w:sz w:val="24"/>
        </w:rPr>
        <w:t>广州交通投资集团有限公司是广州交通基础设施建设龙头企业、广州首批总部经济企业、中国服务业</w:t>
      </w:r>
      <w:r>
        <w:rPr>
          <w:rFonts w:eastAsia="仿宋" w:cs="Times New Roman" w:hint="eastAsia"/>
          <w:color w:val="000000"/>
          <w:sz w:val="24"/>
        </w:rPr>
        <w:t>500</w:t>
      </w:r>
      <w:r>
        <w:rPr>
          <w:rFonts w:eastAsia="仿宋" w:cs="Times New Roman" w:hint="eastAsia"/>
          <w:color w:val="000000"/>
          <w:sz w:val="24"/>
        </w:rPr>
        <w:t>强企业、广东省</w:t>
      </w:r>
      <w:r>
        <w:rPr>
          <w:rFonts w:eastAsia="仿宋" w:cs="Times New Roman" w:hint="eastAsia"/>
          <w:color w:val="000000"/>
          <w:sz w:val="24"/>
        </w:rPr>
        <w:t>500</w:t>
      </w:r>
      <w:r>
        <w:rPr>
          <w:rFonts w:eastAsia="仿宋" w:cs="Times New Roman" w:hint="eastAsia"/>
          <w:color w:val="000000"/>
          <w:sz w:val="24"/>
        </w:rPr>
        <w:t>强企业，成立于</w:t>
      </w:r>
      <w:r>
        <w:rPr>
          <w:rFonts w:eastAsia="仿宋" w:cs="Times New Roman" w:hint="eastAsia"/>
          <w:color w:val="000000"/>
          <w:sz w:val="24"/>
        </w:rPr>
        <w:t>2008</w:t>
      </w:r>
      <w:r>
        <w:rPr>
          <w:rFonts w:eastAsia="仿宋" w:cs="Times New Roman" w:hint="eastAsia"/>
          <w:color w:val="000000"/>
          <w:sz w:val="24"/>
        </w:rPr>
        <w:t>年</w:t>
      </w:r>
      <w:r>
        <w:rPr>
          <w:rFonts w:eastAsia="仿宋" w:cs="Times New Roman" w:hint="eastAsia"/>
          <w:color w:val="000000"/>
          <w:sz w:val="24"/>
        </w:rPr>
        <w:t>8</w:t>
      </w:r>
      <w:r>
        <w:rPr>
          <w:rFonts w:eastAsia="仿宋" w:cs="Times New Roman" w:hint="eastAsia"/>
          <w:color w:val="000000"/>
          <w:sz w:val="24"/>
        </w:rPr>
        <w:t>月，主要从事高快速公路、物流枢纽等交通基础设施的投资、建设和运营管理。集团已建成通车高快速公路</w:t>
      </w:r>
      <w:r>
        <w:rPr>
          <w:rFonts w:eastAsia="仿宋" w:cs="Times New Roman" w:hint="eastAsia"/>
          <w:color w:val="000000"/>
          <w:sz w:val="24"/>
        </w:rPr>
        <w:t>18</w:t>
      </w:r>
      <w:r>
        <w:rPr>
          <w:rFonts w:eastAsia="仿宋" w:cs="Times New Roman" w:hint="eastAsia"/>
          <w:color w:val="000000"/>
          <w:sz w:val="24"/>
        </w:rPr>
        <w:t>条，总里程</w:t>
      </w:r>
      <w:r>
        <w:rPr>
          <w:rFonts w:eastAsia="仿宋" w:cs="Times New Roman" w:hint="eastAsia"/>
          <w:color w:val="000000"/>
          <w:sz w:val="24"/>
        </w:rPr>
        <w:t>835</w:t>
      </w:r>
      <w:r>
        <w:rPr>
          <w:rFonts w:eastAsia="仿宋" w:cs="Times New Roman" w:hint="eastAsia"/>
          <w:color w:val="000000"/>
          <w:sz w:val="24"/>
        </w:rPr>
        <w:t>公里，投资总额</w:t>
      </w:r>
      <w:r>
        <w:rPr>
          <w:rFonts w:eastAsia="仿宋" w:cs="Times New Roman" w:hint="eastAsia"/>
          <w:color w:val="000000"/>
          <w:sz w:val="24"/>
        </w:rPr>
        <w:t>1507</w:t>
      </w:r>
      <w:r>
        <w:rPr>
          <w:rFonts w:eastAsia="仿宋" w:cs="Times New Roman" w:hint="eastAsia"/>
          <w:color w:val="000000"/>
          <w:sz w:val="24"/>
        </w:rPr>
        <w:t>亿元，先后打造出“全国十大桥梁”之一的丫髻沙大桥、“华南第一路”白云国际机场高速公路、“华南第一桥”珠江黄埔大桥等一批国内享有盛名的精品工程，正在推进广州</w:t>
      </w:r>
      <w:proofErr w:type="gramStart"/>
      <w:r>
        <w:rPr>
          <w:rFonts w:eastAsia="仿宋" w:cs="Times New Roman" w:hint="eastAsia"/>
          <w:color w:val="000000"/>
          <w:sz w:val="24"/>
        </w:rPr>
        <w:t>东部公</w:t>
      </w:r>
      <w:proofErr w:type="gramEnd"/>
      <w:r>
        <w:rPr>
          <w:rFonts w:eastAsia="仿宋" w:cs="Times New Roman" w:hint="eastAsia"/>
          <w:color w:val="000000"/>
          <w:sz w:val="24"/>
        </w:rPr>
        <w:t>铁联运枢纽、广州铁路集装箱中心站公铁联运枢纽等国家级综合交通枢纽项目，总投资超</w:t>
      </w:r>
      <w:r>
        <w:rPr>
          <w:rFonts w:eastAsia="仿宋" w:cs="Times New Roman" w:hint="eastAsia"/>
          <w:color w:val="000000"/>
          <w:sz w:val="24"/>
        </w:rPr>
        <w:t>2200</w:t>
      </w:r>
      <w:r>
        <w:rPr>
          <w:rFonts w:eastAsia="仿宋" w:cs="Times New Roman" w:hint="eastAsia"/>
          <w:color w:val="000000"/>
          <w:sz w:val="24"/>
        </w:rPr>
        <w:t>亿元。广州市综合交通枢纽有限公司是广州交通投资集团有限公司投资设立的全资子公司，成立于</w:t>
      </w:r>
      <w:r>
        <w:rPr>
          <w:rFonts w:eastAsia="仿宋" w:cs="Times New Roman" w:hint="eastAsia"/>
          <w:color w:val="000000"/>
          <w:sz w:val="24"/>
        </w:rPr>
        <w:t>2020</w:t>
      </w:r>
      <w:r>
        <w:rPr>
          <w:rFonts w:eastAsia="仿宋" w:cs="Times New Roman" w:hint="eastAsia"/>
          <w:color w:val="000000"/>
          <w:sz w:val="24"/>
        </w:rPr>
        <w:t>年</w:t>
      </w:r>
      <w:r>
        <w:rPr>
          <w:rFonts w:eastAsia="仿宋" w:cs="Times New Roman" w:hint="eastAsia"/>
          <w:color w:val="000000"/>
          <w:sz w:val="24"/>
        </w:rPr>
        <w:t>11</w:t>
      </w:r>
      <w:r>
        <w:rPr>
          <w:rFonts w:eastAsia="仿宋" w:cs="Times New Roman" w:hint="eastAsia"/>
          <w:color w:val="000000"/>
          <w:sz w:val="24"/>
        </w:rPr>
        <w:t>月，负责广州东部公铁联运枢纽、广州铁路集装箱中心站公铁联运枢纽等综合交通枢纽项目的规划策划、投资建设、运营管理工作。</w:t>
      </w:r>
    </w:p>
    <w:p w14:paraId="33F6CA7B" w14:textId="77777777" w:rsidR="00EF69DC" w:rsidRDefault="00000000" w:rsidP="009628CF">
      <w:pPr>
        <w:overflowPunct w:val="0"/>
        <w:topLinePunct/>
        <w:spacing w:line="300" w:lineRule="exact"/>
        <w:ind w:firstLine="480"/>
        <w:textAlignment w:val="center"/>
        <w:rPr>
          <w:rFonts w:eastAsia="仿宋" w:cs="Times New Roman"/>
          <w:color w:val="000000"/>
          <w:sz w:val="24"/>
        </w:rPr>
      </w:pPr>
      <w:r>
        <w:rPr>
          <w:rFonts w:eastAsia="仿宋" w:cs="Times New Roman" w:hint="eastAsia"/>
          <w:color w:val="000000"/>
          <w:sz w:val="24"/>
        </w:rPr>
        <w:t>广州东部公铁联运枢纽是纳入国家“十四五”规划</w:t>
      </w:r>
      <w:r>
        <w:rPr>
          <w:rFonts w:eastAsia="仿宋" w:cs="Times New Roman" w:hint="eastAsia"/>
          <w:color w:val="000000"/>
          <w:sz w:val="24"/>
        </w:rPr>
        <w:t>102</w:t>
      </w:r>
      <w:r>
        <w:rPr>
          <w:rFonts w:eastAsia="仿宋" w:cs="Times New Roman" w:hint="eastAsia"/>
          <w:color w:val="000000"/>
          <w:sz w:val="24"/>
        </w:rPr>
        <w:t>项重大工程、国家《“十四五”现代综合交通运输体系发展规划》《“十四五”现代流通体系建设规划》等重大战略规划的重点建设项目，是广州深入推进国家综合货运枢纽补链强链的重点支撑项目。枢纽一期占地</w:t>
      </w:r>
      <w:r>
        <w:rPr>
          <w:rFonts w:eastAsia="仿宋" w:cs="Times New Roman" w:hint="eastAsia"/>
          <w:color w:val="000000"/>
          <w:sz w:val="24"/>
        </w:rPr>
        <w:t>555</w:t>
      </w:r>
      <w:r>
        <w:rPr>
          <w:rFonts w:eastAsia="仿宋" w:cs="Times New Roman" w:hint="eastAsia"/>
          <w:color w:val="000000"/>
          <w:sz w:val="24"/>
        </w:rPr>
        <w:t>公顷，总投资</w:t>
      </w:r>
      <w:r>
        <w:rPr>
          <w:rFonts w:eastAsia="仿宋" w:cs="Times New Roman" w:hint="eastAsia"/>
          <w:color w:val="000000"/>
          <w:sz w:val="24"/>
        </w:rPr>
        <w:t>447.68</w:t>
      </w:r>
      <w:r>
        <w:rPr>
          <w:rFonts w:eastAsia="仿宋" w:cs="Times New Roman" w:hint="eastAsia"/>
          <w:color w:val="000000"/>
          <w:sz w:val="24"/>
        </w:rPr>
        <w:t>亿元，布局公铁联运综合立体作业区、国家一类口岸、海关监管区、国际班列集结中心、跨境电商全球交付中心、“平急结合”城郊大仓基地、综合能源服务中心等功能。</w:t>
      </w:r>
      <w:r>
        <w:rPr>
          <w:rFonts w:eastAsia="仿宋" w:cs="Times New Roman" w:hint="eastAsia"/>
          <w:color w:val="000000"/>
          <w:sz w:val="24"/>
        </w:rPr>
        <w:t>2024</w:t>
      </w:r>
      <w:r>
        <w:rPr>
          <w:rFonts w:eastAsia="仿宋" w:cs="Times New Roman" w:hint="eastAsia"/>
          <w:color w:val="000000"/>
          <w:sz w:val="24"/>
        </w:rPr>
        <w:t>年</w:t>
      </w:r>
      <w:r>
        <w:rPr>
          <w:rFonts w:eastAsia="仿宋" w:cs="Times New Roman" w:hint="eastAsia"/>
          <w:color w:val="000000"/>
          <w:sz w:val="24"/>
        </w:rPr>
        <w:t>8</w:t>
      </w:r>
      <w:r>
        <w:rPr>
          <w:rFonts w:eastAsia="仿宋" w:cs="Times New Roman" w:hint="eastAsia"/>
          <w:color w:val="000000"/>
          <w:sz w:val="24"/>
        </w:rPr>
        <w:t>月广州东部公铁联运枢纽冷链中心一区子项目（总建筑面积</w:t>
      </w:r>
      <w:r>
        <w:rPr>
          <w:rFonts w:eastAsia="仿宋" w:cs="Times New Roman" w:hint="eastAsia"/>
          <w:color w:val="000000"/>
          <w:sz w:val="24"/>
        </w:rPr>
        <w:t>23.8</w:t>
      </w:r>
      <w:r>
        <w:rPr>
          <w:rFonts w:eastAsia="仿宋" w:cs="Times New Roman" w:hint="eastAsia"/>
          <w:color w:val="000000"/>
          <w:sz w:val="24"/>
        </w:rPr>
        <w:t>万方）开工，预计</w:t>
      </w:r>
      <w:r>
        <w:rPr>
          <w:rFonts w:eastAsia="仿宋" w:cs="Times New Roman" w:hint="eastAsia"/>
          <w:color w:val="000000"/>
          <w:sz w:val="24"/>
        </w:rPr>
        <w:t>2025</w:t>
      </w:r>
      <w:r>
        <w:rPr>
          <w:rFonts w:eastAsia="仿宋" w:cs="Times New Roman" w:hint="eastAsia"/>
          <w:color w:val="000000"/>
          <w:sz w:val="24"/>
        </w:rPr>
        <w:t>年底投产。</w:t>
      </w:r>
      <w:r>
        <w:rPr>
          <w:rFonts w:eastAsia="仿宋" w:cs="Times New Roman" w:hint="eastAsia"/>
          <w:color w:val="000000"/>
          <w:sz w:val="24"/>
        </w:rPr>
        <w:t>2024</w:t>
      </w:r>
      <w:r>
        <w:rPr>
          <w:rFonts w:eastAsia="仿宋" w:cs="Times New Roman" w:hint="eastAsia"/>
          <w:color w:val="000000"/>
          <w:sz w:val="24"/>
        </w:rPr>
        <w:t>年</w:t>
      </w:r>
      <w:r>
        <w:rPr>
          <w:rFonts w:eastAsia="仿宋" w:cs="Times New Roman" w:hint="eastAsia"/>
          <w:color w:val="000000"/>
          <w:sz w:val="24"/>
        </w:rPr>
        <w:t>11</w:t>
      </w:r>
      <w:r>
        <w:rPr>
          <w:rFonts w:eastAsia="仿宋" w:cs="Times New Roman" w:hint="eastAsia"/>
          <w:color w:val="000000"/>
          <w:sz w:val="24"/>
        </w:rPr>
        <w:t>月电商转运中心一期子项目（总建筑面积</w:t>
      </w:r>
      <w:r>
        <w:rPr>
          <w:rFonts w:eastAsia="仿宋" w:cs="Times New Roman" w:hint="eastAsia"/>
          <w:color w:val="000000"/>
          <w:sz w:val="24"/>
        </w:rPr>
        <w:t>66.6</w:t>
      </w:r>
      <w:r>
        <w:rPr>
          <w:rFonts w:eastAsia="仿宋" w:cs="Times New Roman" w:hint="eastAsia"/>
          <w:color w:val="000000"/>
          <w:sz w:val="24"/>
        </w:rPr>
        <w:t>万方）开工，预计</w:t>
      </w:r>
      <w:r>
        <w:rPr>
          <w:rFonts w:eastAsia="仿宋" w:cs="Times New Roman" w:hint="eastAsia"/>
          <w:color w:val="000000"/>
          <w:sz w:val="24"/>
        </w:rPr>
        <w:t>2026</w:t>
      </w:r>
      <w:r>
        <w:rPr>
          <w:rFonts w:eastAsia="仿宋" w:cs="Times New Roman" w:hint="eastAsia"/>
          <w:color w:val="000000"/>
          <w:sz w:val="24"/>
        </w:rPr>
        <w:t>年初投产。</w:t>
      </w:r>
    </w:p>
    <w:p w14:paraId="1DC2977E" w14:textId="77777777" w:rsidR="00EF69DC" w:rsidRDefault="00000000" w:rsidP="009628CF">
      <w:pPr>
        <w:overflowPunct w:val="0"/>
        <w:topLinePunct/>
        <w:spacing w:line="300" w:lineRule="exact"/>
        <w:ind w:firstLine="480"/>
        <w:textAlignment w:val="center"/>
        <w:rPr>
          <w:rFonts w:eastAsia="仿宋" w:cs="Times New Roman"/>
          <w:color w:val="000000"/>
          <w:sz w:val="24"/>
        </w:rPr>
      </w:pPr>
      <w:r>
        <w:rPr>
          <w:rFonts w:eastAsia="仿宋" w:cs="Times New Roman" w:hint="eastAsia"/>
          <w:color w:val="000000"/>
          <w:sz w:val="24"/>
        </w:rPr>
        <w:t>2024</w:t>
      </w:r>
      <w:r>
        <w:rPr>
          <w:rFonts w:eastAsia="仿宋" w:cs="Times New Roman" w:hint="eastAsia"/>
          <w:color w:val="000000"/>
          <w:sz w:val="24"/>
        </w:rPr>
        <w:t>年，经国家发展改革委评审认定，广州东部公铁联运枢纽列入生产服务型国家物流枢纽建设名单。欣逢国家物流枢纽建设工作推进会召开之际，广州交投集团全体员工将以饱满的热情、优良的服务，热烈欢迎五湖四海的来宾朋友传经送宝，共商共建、合作共赢。</w:t>
      </w:r>
    </w:p>
    <w:bookmarkEnd w:id="12"/>
    <w:p w14:paraId="4E59CAEE" w14:textId="4EF2376F" w:rsidR="0011112D" w:rsidRPr="00595B89" w:rsidRDefault="0011112D" w:rsidP="00C72511">
      <w:pPr>
        <w:autoSpaceDE w:val="0"/>
        <w:autoSpaceDN w:val="0"/>
        <w:spacing w:line="240" w:lineRule="auto"/>
        <w:ind w:firstLineChars="0" w:firstLine="0"/>
        <w:jc w:val="left"/>
        <w:rPr>
          <w:rFonts w:eastAsia="仿宋" w:cs="Times New Roman"/>
          <w:color w:val="000000"/>
          <w:sz w:val="24"/>
        </w:rPr>
      </w:pPr>
    </w:p>
    <w:sectPr w:rsidR="0011112D" w:rsidRPr="00595B89" w:rsidSect="00C7251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8675A" w14:textId="77777777" w:rsidR="00E26A40" w:rsidRDefault="00E26A40">
      <w:pPr>
        <w:spacing w:line="240" w:lineRule="auto"/>
        <w:ind w:firstLine="560"/>
      </w:pPr>
      <w:r>
        <w:separator/>
      </w:r>
    </w:p>
  </w:endnote>
  <w:endnote w:type="continuationSeparator" w:id="0">
    <w:p w14:paraId="4E8CD9EF" w14:textId="77777777" w:rsidR="00E26A40" w:rsidRDefault="00E26A40">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1" w:subsetted="1" w:fontKey="{40CC4E24-70C9-4241-BE9F-02B2E69174F9}"/>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embedRegular r:id="rId2" w:subsetted="1" w:fontKey="{BAB70BA7-F742-46A5-957E-C1DE12FCB3F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imes New Roman"/>
        <w:sz w:val="28"/>
        <w:szCs w:val="28"/>
      </w:rPr>
      <w:id w:val="-1467038913"/>
    </w:sdtPr>
    <w:sdtContent>
      <w:sdt>
        <w:sdtPr>
          <w:id w:val="-2034960013"/>
        </w:sdtPr>
        <w:sdtEndPr>
          <w:rPr>
            <w:sz w:val="24"/>
            <w:szCs w:val="24"/>
          </w:rPr>
        </w:sdtEndPr>
        <w:sdtContent>
          <w:p w14:paraId="65CAE639" w14:textId="1AECCAE7" w:rsidR="00D33B5E" w:rsidRPr="00B77FE8" w:rsidRDefault="00B77FE8" w:rsidP="00B77FE8">
            <w:pPr>
              <w:pStyle w:val="a7"/>
              <w:wordWrap w:val="0"/>
              <w:ind w:firstLine="560"/>
              <w:jc w:val="right"/>
              <w:rPr>
                <w:sz w:val="24"/>
                <w:szCs w:val="24"/>
              </w:rPr>
            </w:pPr>
            <w:r>
              <w:rPr>
                <w:rFonts w:hint="eastAsia"/>
                <w:sz w:val="24"/>
                <w:szCs w:val="24"/>
              </w:rPr>
              <w:t>—</w:t>
            </w:r>
            <w:r>
              <w:rPr>
                <w:rFonts w:hint="eastAsia"/>
                <w:sz w:val="24"/>
                <w:szCs w:val="24"/>
              </w:rPr>
              <w:t xml:space="preserve"> </w:t>
            </w:r>
            <w:r>
              <w:rPr>
                <w:sz w:val="24"/>
                <w:szCs w:val="24"/>
              </w:rPr>
              <w:t xml:space="preserve">6 </w:t>
            </w:r>
            <w:r>
              <w:rPr>
                <w:rFonts w:hint="eastAsia"/>
                <w:sz w:val="24"/>
                <w:szCs w:val="24"/>
              </w:rPr>
              <w:t>—</w:t>
            </w:r>
          </w:p>
        </w:sdtContent>
      </w:sdt>
    </w:sdtContent>
  </w:sdt>
  <w:p w14:paraId="33EF09C6" w14:textId="77777777" w:rsidR="00D33B5E" w:rsidRDefault="00D33B5E">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8224164"/>
    </w:sdtPr>
    <w:sdtEndPr>
      <w:rPr>
        <w:rFonts w:cs="Times New Roman"/>
        <w:sz w:val="28"/>
        <w:szCs w:val="28"/>
      </w:rPr>
    </w:sdtEndPr>
    <w:sdtContent>
      <w:p w14:paraId="6B2C7193" w14:textId="01813D25" w:rsidR="00703446" w:rsidRDefault="00703446" w:rsidP="00C72511">
        <w:pPr>
          <w:pStyle w:val="a7"/>
          <w:wordWrap w:val="0"/>
          <w:ind w:firstLineChars="0" w:firstLine="0"/>
          <w:rPr>
            <w:sz w:val="24"/>
            <w:szCs w:val="24"/>
          </w:rPr>
        </w:pPr>
      </w:p>
      <w:p w14:paraId="7F227743" w14:textId="230DFD3B" w:rsidR="00D33B5E" w:rsidRDefault="00000000" w:rsidP="00703446">
        <w:pPr>
          <w:pStyle w:val="a7"/>
          <w:wordWrap w:val="0"/>
          <w:ind w:firstLine="560"/>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D9589" w14:textId="77777777" w:rsidR="00C72511" w:rsidRDefault="00C72511">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A9504" w14:textId="77777777" w:rsidR="00E26A40" w:rsidRDefault="00E26A40">
      <w:pPr>
        <w:ind w:firstLine="560"/>
      </w:pPr>
      <w:r>
        <w:separator/>
      </w:r>
    </w:p>
  </w:footnote>
  <w:footnote w:type="continuationSeparator" w:id="0">
    <w:p w14:paraId="5AD576C8" w14:textId="77777777" w:rsidR="00E26A40" w:rsidRDefault="00E26A40">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4868C" w14:textId="77777777" w:rsidR="00C72511" w:rsidRDefault="00C72511">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FF883" w14:textId="77777777" w:rsidR="00C72511" w:rsidRDefault="00C72511">
    <w:pPr>
      <w:pStyle w:val="a9"/>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69676" w14:textId="77777777" w:rsidR="00C72511" w:rsidRDefault="00C72511">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6DB70"/>
    <w:multiLevelType w:val="singleLevel"/>
    <w:tmpl w:val="3DB6DB70"/>
    <w:lvl w:ilvl="0">
      <w:start w:val="2"/>
      <w:numFmt w:val="chineseCounting"/>
      <w:suff w:val="nothing"/>
      <w:lvlText w:val="（%1）"/>
      <w:lvlJc w:val="left"/>
      <w:rPr>
        <w:rFonts w:hint="eastAsia"/>
      </w:rPr>
    </w:lvl>
  </w:abstractNum>
  <w:num w:numId="1" w16cid:durableId="839733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saveSubsetFonts/>
  <w:bordersDoNotSurroundHeader/>
  <w:bordersDoNotSurroundFooter/>
  <w:proofState w:spelling="clean" w:grammar="clean"/>
  <w:defaultTabStop w:val="420"/>
  <w:evenAndOddHeaders/>
  <w:drawingGridHorizontalSpacing w:val="140"/>
  <w:drawingGridVerticalSpacing w:val="381"/>
  <w:displayHorizont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A9F"/>
    <w:rsid w:val="000006AB"/>
    <w:rsid w:val="0000700A"/>
    <w:rsid w:val="0000772C"/>
    <w:rsid w:val="00023EC2"/>
    <w:rsid w:val="00041709"/>
    <w:rsid w:val="0005168E"/>
    <w:rsid w:val="00056BAD"/>
    <w:rsid w:val="00066EA1"/>
    <w:rsid w:val="000733AA"/>
    <w:rsid w:val="000E1533"/>
    <w:rsid w:val="000F3C45"/>
    <w:rsid w:val="0011112D"/>
    <w:rsid w:val="0011442F"/>
    <w:rsid w:val="001378EA"/>
    <w:rsid w:val="00175DCB"/>
    <w:rsid w:val="001A47D7"/>
    <w:rsid w:val="001F236B"/>
    <w:rsid w:val="0023701F"/>
    <w:rsid w:val="00250A70"/>
    <w:rsid w:val="00253F45"/>
    <w:rsid w:val="0027308D"/>
    <w:rsid w:val="002841E9"/>
    <w:rsid w:val="00287526"/>
    <w:rsid w:val="002C46E0"/>
    <w:rsid w:val="002F3BFC"/>
    <w:rsid w:val="00301710"/>
    <w:rsid w:val="003118A8"/>
    <w:rsid w:val="00321126"/>
    <w:rsid w:val="00357C01"/>
    <w:rsid w:val="00365665"/>
    <w:rsid w:val="00387A02"/>
    <w:rsid w:val="003B43A9"/>
    <w:rsid w:val="003F05AE"/>
    <w:rsid w:val="003F0B3C"/>
    <w:rsid w:val="00433784"/>
    <w:rsid w:val="00462BE2"/>
    <w:rsid w:val="0048700A"/>
    <w:rsid w:val="004B0AA2"/>
    <w:rsid w:val="00547A5E"/>
    <w:rsid w:val="00571C84"/>
    <w:rsid w:val="00594D03"/>
    <w:rsid w:val="00595B89"/>
    <w:rsid w:val="005D092D"/>
    <w:rsid w:val="00604173"/>
    <w:rsid w:val="006066BB"/>
    <w:rsid w:val="00630FBC"/>
    <w:rsid w:val="00643545"/>
    <w:rsid w:val="00671635"/>
    <w:rsid w:val="00673FA4"/>
    <w:rsid w:val="006A1169"/>
    <w:rsid w:val="00703446"/>
    <w:rsid w:val="007253BD"/>
    <w:rsid w:val="00736129"/>
    <w:rsid w:val="007853B4"/>
    <w:rsid w:val="007905D9"/>
    <w:rsid w:val="007B0EE2"/>
    <w:rsid w:val="007C4E40"/>
    <w:rsid w:val="007C525A"/>
    <w:rsid w:val="007D1272"/>
    <w:rsid w:val="007E11C4"/>
    <w:rsid w:val="008015D6"/>
    <w:rsid w:val="00821513"/>
    <w:rsid w:val="00837A9F"/>
    <w:rsid w:val="00843464"/>
    <w:rsid w:val="008E1CF1"/>
    <w:rsid w:val="009032A1"/>
    <w:rsid w:val="0092128D"/>
    <w:rsid w:val="00925D83"/>
    <w:rsid w:val="00955B87"/>
    <w:rsid w:val="009628CF"/>
    <w:rsid w:val="00996627"/>
    <w:rsid w:val="00A042E9"/>
    <w:rsid w:val="00A50A34"/>
    <w:rsid w:val="00AB311B"/>
    <w:rsid w:val="00AE1303"/>
    <w:rsid w:val="00B112BF"/>
    <w:rsid w:val="00B1461D"/>
    <w:rsid w:val="00B70BAF"/>
    <w:rsid w:val="00B760F6"/>
    <w:rsid w:val="00B76C46"/>
    <w:rsid w:val="00B77FE8"/>
    <w:rsid w:val="00B81E17"/>
    <w:rsid w:val="00B8682D"/>
    <w:rsid w:val="00B91A94"/>
    <w:rsid w:val="00BB1D79"/>
    <w:rsid w:val="00BC2AD0"/>
    <w:rsid w:val="00BE2722"/>
    <w:rsid w:val="00BF6DFF"/>
    <w:rsid w:val="00C454B7"/>
    <w:rsid w:val="00C52915"/>
    <w:rsid w:val="00C72511"/>
    <w:rsid w:val="00CD2567"/>
    <w:rsid w:val="00D33B5E"/>
    <w:rsid w:val="00D46A66"/>
    <w:rsid w:val="00D4709E"/>
    <w:rsid w:val="00DA2885"/>
    <w:rsid w:val="00DD20D7"/>
    <w:rsid w:val="00E14121"/>
    <w:rsid w:val="00E1500F"/>
    <w:rsid w:val="00E24231"/>
    <w:rsid w:val="00E26A40"/>
    <w:rsid w:val="00E270A1"/>
    <w:rsid w:val="00E41EA3"/>
    <w:rsid w:val="00E50A9C"/>
    <w:rsid w:val="00E87A65"/>
    <w:rsid w:val="00E87B96"/>
    <w:rsid w:val="00ED3844"/>
    <w:rsid w:val="00ED5DF5"/>
    <w:rsid w:val="00EF69DC"/>
    <w:rsid w:val="00F008BC"/>
    <w:rsid w:val="00F0566E"/>
    <w:rsid w:val="00F125E1"/>
    <w:rsid w:val="00F66943"/>
    <w:rsid w:val="00F67C6E"/>
    <w:rsid w:val="00F86FE0"/>
    <w:rsid w:val="00F92BAC"/>
    <w:rsid w:val="00F9496A"/>
    <w:rsid w:val="00FB1489"/>
    <w:rsid w:val="00FC6285"/>
    <w:rsid w:val="00FF0593"/>
    <w:rsid w:val="08540794"/>
    <w:rsid w:val="11AD150E"/>
    <w:rsid w:val="15E70AE9"/>
    <w:rsid w:val="182379E8"/>
    <w:rsid w:val="22016D76"/>
    <w:rsid w:val="38CF1A01"/>
    <w:rsid w:val="47B265AF"/>
    <w:rsid w:val="4ACD2E38"/>
    <w:rsid w:val="59142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A67E1C4"/>
  <w15:docId w15:val="{31E62906-366E-4611-ACF3-95096C810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nhideWhenUsed="1" w:qFormat="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adjustRightInd w:val="0"/>
      <w:snapToGrid w:val="0"/>
      <w:spacing w:line="360" w:lineRule="auto"/>
      <w:ind w:firstLineChars="200" w:firstLine="200"/>
      <w:jc w:val="both"/>
    </w:pPr>
    <w:rPr>
      <w:rFonts w:eastAsia="仿宋_GB2312" w:cstheme="minorBidi"/>
      <w:kern w:val="2"/>
      <w:sz w:val="28"/>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0">
    <w:name w:val="heading 2"/>
    <w:basedOn w:val="a"/>
    <w:next w:val="a"/>
    <w:link w:val="21"/>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asciiTheme="minorHAnsi" w:eastAsiaTheme="minorEastAsia" w:hAnsiTheme="minorHAnsi" w:cstheme="majorBidi"/>
      <w:color w:val="0F4761" w:themeColor="accent1" w:themeShade="BF"/>
      <w:szCs w:val="28"/>
    </w:rPr>
  </w:style>
  <w:style w:type="paragraph" w:styleId="5">
    <w:name w:val="heading 5"/>
    <w:basedOn w:val="a"/>
    <w:next w:val="a"/>
    <w:link w:val="50"/>
    <w:uiPriority w:val="9"/>
    <w:semiHidden/>
    <w:unhideWhenUsed/>
    <w:qFormat/>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spacing w:after="120"/>
      <w:ind w:leftChars="200" w:left="200" w:firstLine="200"/>
    </w:pPr>
    <w:rPr>
      <w:rFonts w:ascii="Calibri" w:hAnsi="Calibri"/>
      <w:sz w:val="21"/>
      <w:szCs w:val="24"/>
    </w:rPr>
  </w:style>
  <w:style w:type="paragraph" w:styleId="a3">
    <w:name w:val="Body Text Indent"/>
    <w:basedOn w:val="a"/>
    <w:next w:val="a4"/>
    <w:uiPriority w:val="99"/>
    <w:unhideWhenUsed/>
    <w:qFormat/>
    <w:pPr>
      <w:ind w:firstLine="570"/>
    </w:pPr>
    <w:rPr>
      <w:szCs w:val="20"/>
    </w:rPr>
  </w:style>
  <w:style w:type="paragraph" w:styleId="a4">
    <w:name w:val="envelope return"/>
    <w:basedOn w:val="a"/>
    <w:uiPriority w:val="99"/>
    <w:unhideWhenUsed/>
    <w:qFormat/>
    <w:rPr>
      <w:rFonts w:ascii="Arial" w:hAnsi="Arial"/>
    </w:rPr>
  </w:style>
  <w:style w:type="paragraph" w:styleId="a5">
    <w:name w:val="annotation text"/>
    <w:basedOn w:val="a"/>
    <w:uiPriority w:val="99"/>
    <w:semiHidden/>
    <w:unhideWhenUsed/>
    <w:qFormat/>
    <w:pPr>
      <w:jc w:val="left"/>
    </w:pPr>
  </w:style>
  <w:style w:type="paragraph" w:styleId="a6">
    <w:name w:val="Body Text"/>
    <w:basedOn w:val="a"/>
    <w:uiPriority w:val="99"/>
    <w:qFormat/>
    <w:pPr>
      <w:spacing w:after="120"/>
    </w:pPr>
  </w:style>
  <w:style w:type="paragraph" w:styleId="TOC3">
    <w:name w:val="toc 3"/>
    <w:basedOn w:val="a"/>
    <w:next w:val="a"/>
    <w:autoRedefine/>
    <w:uiPriority w:val="39"/>
    <w:unhideWhenUsed/>
    <w:qFormat/>
    <w:pPr>
      <w:adjustRightInd/>
      <w:snapToGrid/>
      <w:spacing w:after="100" w:line="259" w:lineRule="auto"/>
      <w:ind w:left="440" w:firstLineChars="0" w:firstLine="0"/>
      <w:jc w:val="left"/>
    </w:pPr>
    <w:rPr>
      <w:rFonts w:cs="Times New Roman"/>
      <w:kern w:val="0"/>
      <w:szCs w:val="22"/>
      <w14:ligatures w14:val="none"/>
    </w:rPr>
  </w:style>
  <w:style w:type="paragraph" w:styleId="a7">
    <w:name w:val="footer"/>
    <w:basedOn w:val="a"/>
    <w:link w:val="a8"/>
    <w:uiPriority w:val="99"/>
    <w:unhideWhenUsed/>
    <w:qFormat/>
    <w:pPr>
      <w:tabs>
        <w:tab w:val="center" w:pos="4153"/>
        <w:tab w:val="right" w:pos="8306"/>
      </w:tabs>
      <w:spacing w:line="240" w:lineRule="auto"/>
      <w:jc w:val="left"/>
    </w:pPr>
    <w:rPr>
      <w:sz w:val="18"/>
      <w:szCs w:val="18"/>
    </w:rPr>
  </w:style>
  <w:style w:type="paragraph" w:styleId="a9">
    <w:name w:val="header"/>
    <w:basedOn w:val="a"/>
    <w:link w:val="aa"/>
    <w:uiPriority w:val="99"/>
    <w:unhideWhenUsed/>
    <w:qFormat/>
    <w:pPr>
      <w:tabs>
        <w:tab w:val="center" w:pos="4153"/>
        <w:tab w:val="right" w:pos="8306"/>
      </w:tabs>
      <w:spacing w:line="240" w:lineRule="auto"/>
      <w:jc w:val="center"/>
    </w:pPr>
    <w:rPr>
      <w:sz w:val="18"/>
      <w:szCs w:val="18"/>
    </w:rPr>
  </w:style>
  <w:style w:type="paragraph" w:styleId="TOC1">
    <w:name w:val="toc 1"/>
    <w:basedOn w:val="a"/>
    <w:next w:val="a"/>
    <w:autoRedefine/>
    <w:uiPriority w:val="39"/>
    <w:unhideWhenUsed/>
    <w:qFormat/>
    <w:pPr>
      <w:tabs>
        <w:tab w:val="right" w:leader="dot" w:pos="9060"/>
      </w:tabs>
      <w:ind w:firstLineChars="0" w:firstLine="0"/>
      <w:jc w:val="left"/>
    </w:pPr>
    <w:rPr>
      <w:rFonts w:eastAsia="宋体" w:cs="Times New Roman"/>
      <w:b/>
      <w:bCs/>
      <w:caps/>
      <w:color w:val="002060"/>
      <w:kern w:val="0"/>
      <w14:ligatures w14:val="none"/>
    </w:rPr>
  </w:style>
  <w:style w:type="paragraph" w:styleId="TOC4">
    <w:name w:val="toc 4"/>
    <w:basedOn w:val="a"/>
    <w:next w:val="a"/>
    <w:autoRedefine/>
    <w:uiPriority w:val="39"/>
    <w:semiHidden/>
    <w:unhideWhenUsed/>
    <w:qFormat/>
    <w:rPr>
      <w:rFonts w:cs="黑体"/>
      <w:szCs w:val="22"/>
      <w14:ligatures w14:val="none"/>
    </w:rPr>
  </w:style>
  <w:style w:type="paragraph" w:styleId="ab">
    <w:name w:val="Subtitle"/>
    <w:basedOn w:val="a"/>
    <w:next w:val="a"/>
    <w:link w:val="ac"/>
    <w:uiPriority w:val="11"/>
    <w:qFormat/>
    <w:pPr>
      <w:spacing w:after="160"/>
      <w:jc w:val="center"/>
    </w:pPr>
    <w:rPr>
      <w:rFonts w:asciiTheme="majorHAnsi" w:eastAsiaTheme="majorEastAsia" w:hAnsiTheme="majorHAnsi" w:cstheme="majorBidi"/>
      <w:color w:val="595959" w:themeColor="text1" w:themeTint="A6"/>
      <w:spacing w:val="15"/>
      <w:szCs w:val="28"/>
    </w:rPr>
  </w:style>
  <w:style w:type="paragraph" w:styleId="ad">
    <w:name w:val="Normal (Web)"/>
    <w:basedOn w:val="a"/>
    <w:uiPriority w:val="99"/>
    <w:qFormat/>
    <w:pPr>
      <w:spacing w:beforeAutospacing="1" w:afterAutospacing="1"/>
      <w:jc w:val="left"/>
    </w:pPr>
    <w:rPr>
      <w:rFonts w:cs="Times New Roman"/>
      <w:kern w:val="0"/>
      <w:sz w:val="24"/>
    </w:rPr>
  </w:style>
  <w:style w:type="paragraph" w:styleId="ae">
    <w:name w:val="Title"/>
    <w:basedOn w:val="a"/>
    <w:next w:val="a"/>
    <w:link w:val="af"/>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f0">
    <w:name w:val="Hyperlink"/>
    <w:basedOn w:val="a0"/>
    <w:uiPriority w:val="99"/>
    <w:unhideWhenUsed/>
    <w:qFormat/>
    <w:rPr>
      <w:color w:val="467886" w:themeColor="hyperlink"/>
      <w:u w:val="single"/>
    </w:rPr>
  </w:style>
  <w:style w:type="paragraph" w:customStyle="1" w:styleId="af1">
    <w:name w:val="枢纽"/>
    <w:basedOn w:val="20"/>
    <w:next w:val="a"/>
    <w:link w:val="af2"/>
    <w:autoRedefine/>
    <w:qFormat/>
    <w:pPr>
      <w:widowControl/>
      <w:spacing w:beforeLines="150" w:before="150" w:after="0"/>
      <w:ind w:firstLineChars="0" w:firstLine="0"/>
      <w:outlineLvl w:val="2"/>
    </w:pPr>
    <w:rPr>
      <w:rFonts w:eastAsia="黑体"/>
    </w:rPr>
  </w:style>
  <w:style w:type="character" w:customStyle="1" w:styleId="af2">
    <w:name w:val="枢纽 字符"/>
    <w:basedOn w:val="21"/>
    <w:link w:val="af1"/>
    <w:qFormat/>
    <w:rPr>
      <w:rFonts w:asciiTheme="majorHAnsi" w:eastAsia="黑体" w:hAnsiTheme="majorHAnsi" w:cstheme="majorBidi"/>
      <w:color w:val="0F4761" w:themeColor="accent1" w:themeShade="BF"/>
      <w:sz w:val="40"/>
      <w:szCs w:val="40"/>
    </w:rPr>
  </w:style>
  <w:style w:type="character" w:customStyle="1" w:styleId="21">
    <w:name w:val="标题 2 字符"/>
    <w:basedOn w:val="a0"/>
    <w:link w:val="20"/>
    <w:uiPriority w:val="9"/>
    <w:semiHidden/>
    <w:qFormat/>
    <w:rPr>
      <w:rFonts w:asciiTheme="majorHAnsi" w:eastAsiaTheme="majorEastAsia" w:hAnsiTheme="majorHAnsi" w:cstheme="majorBidi"/>
      <w:color w:val="0F4761" w:themeColor="accent1" w:themeShade="BF"/>
      <w:sz w:val="40"/>
      <w:szCs w:val="40"/>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sz w:val="28"/>
    </w:rPr>
  </w:style>
  <w:style w:type="character" w:customStyle="1" w:styleId="70">
    <w:name w:val="标题 7 字符"/>
    <w:basedOn w:val="a0"/>
    <w:link w:val="7"/>
    <w:uiPriority w:val="9"/>
    <w:semiHidden/>
    <w:qFormat/>
    <w:rPr>
      <w:rFonts w:cstheme="majorBidi"/>
      <w:b/>
      <w:bCs/>
      <w:color w:val="595959" w:themeColor="text1" w:themeTint="A6"/>
      <w:sz w:val="28"/>
    </w:rPr>
  </w:style>
  <w:style w:type="character" w:customStyle="1" w:styleId="80">
    <w:name w:val="标题 8 字符"/>
    <w:basedOn w:val="a0"/>
    <w:link w:val="8"/>
    <w:uiPriority w:val="9"/>
    <w:semiHidden/>
    <w:qFormat/>
    <w:rPr>
      <w:rFonts w:cstheme="majorBidi"/>
      <w:color w:val="595959" w:themeColor="text1" w:themeTint="A6"/>
      <w:sz w:val="28"/>
    </w:rPr>
  </w:style>
  <w:style w:type="character" w:customStyle="1" w:styleId="90">
    <w:name w:val="标题 9 字符"/>
    <w:basedOn w:val="a0"/>
    <w:link w:val="9"/>
    <w:uiPriority w:val="9"/>
    <w:semiHidden/>
    <w:qFormat/>
    <w:rPr>
      <w:rFonts w:eastAsiaTheme="majorEastAsia" w:cstheme="majorBidi"/>
      <w:color w:val="595959" w:themeColor="text1" w:themeTint="A6"/>
      <w:sz w:val="28"/>
    </w:rPr>
  </w:style>
  <w:style w:type="character" w:customStyle="1" w:styleId="af">
    <w:name w:val="标题 字符"/>
    <w:basedOn w:val="a0"/>
    <w:link w:val="ae"/>
    <w:uiPriority w:val="10"/>
    <w:qFormat/>
    <w:rPr>
      <w:rFonts w:asciiTheme="majorHAnsi" w:eastAsiaTheme="majorEastAsia" w:hAnsiTheme="majorHAnsi" w:cstheme="majorBidi"/>
      <w:spacing w:val="-10"/>
      <w:kern w:val="28"/>
      <w:sz w:val="56"/>
      <w:szCs w:val="56"/>
    </w:rPr>
  </w:style>
  <w:style w:type="character" w:customStyle="1" w:styleId="ac">
    <w:name w:val="副标题 字符"/>
    <w:basedOn w:val="a0"/>
    <w:link w:val="ab"/>
    <w:uiPriority w:val="11"/>
    <w:qFormat/>
    <w:rPr>
      <w:rFonts w:asciiTheme="majorHAnsi" w:eastAsiaTheme="majorEastAsia" w:hAnsiTheme="majorHAnsi" w:cstheme="majorBidi"/>
      <w:color w:val="595959" w:themeColor="text1" w:themeTint="A6"/>
      <w:spacing w:val="15"/>
      <w:sz w:val="28"/>
      <w:szCs w:val="28"/>
    </w:rPr>
  </w:style>
  <w:style w:type="paragraph" w:styleId="af3">
    <w:name w:val="Quote"/>
    <w:basedOn w:val="a"/>
    <w:next w:val="a"/>
    <w:link w:val="af4"/>
    <w:uiPriority w:val="29"/>
    <w:qFormat/>
    <w:pPr>
      <w:spacing w:before="160" w:after="160"/>
      <w:jc w:val="center"/>
    </w:pPr>
    <w:rPr>
      <w:i/>
      <w:iCs/>
      <w:color w:val="404040" w:themeColor="text1" w:themeTint="BF"/>
    </w:rPr>
  </w:style>
  <w:style w:type="character" w:customStyle="1" w:styleId="af4">
    <w:name w:val="引用 字符"/>
    <w:basedOn w:val="a0"/>
    <w:link w:val="af3"/>
    <w:uiPriority w:val="29"/>
    <w:qFormat/>
    <w:rPr>
      <w:rFonts w:ascii="Times New Roman" w:eastAsia="仿宋_GB2312" w:hAnsi="Times New Roman"/>
      <w:i/>
      <w:iCs/>
      <w:color w:val="404040" w:themeColor="text1" w:themeTint="BF"/>
      <w:sz w:val="28"/>
    </w:rPr>
  </w:style>
  <w:style w:type="paragraph" w:styleId="af5">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6">
    <w:name w:val="Intense Quote"/>
    <w:basedOn w:val="a"/>
    <w:next w:val="a"/>
    <w:link w:val="af7"/>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7">
    <w:name w:val="明显引用 字符"/>
    <w:basedOn w:val="a0"/>
    <w:link w:val="af6"/>
    <w:uiPriority w:val="30"/>
    <w:qFormat/>
    <w:rPr>
      <w:rFonts w:ascii="Times New Roman" w:eastAsia="仿宋_GB2312" w:hAnsi="Times New Roman"/>
      <w:i/>
      <w:iCs/>
      <w:color w:val="0F4761" w:themeColor="accent1" w:themeShade="BF"/>
      <w:sz w:val="28"/>
    </w:rPr>
  </w:style>
  <w:style w:type="character" w:customStyle="1" w:styleId="12">
    <w:name w:val="明显参考1"/>
    <w:basedOn w:val="a0"/>
    <w:uiPriority w:val="32"/>
    <w:qFormat/>
    <w:rPr>
      <w:b/>
      <w:bCs/>
      <w:smallCaps/>
      <w:color w:val="0F4761" w:themeColor="accent1" w:themeShade="BF"/>
      <w:spacing w:val="5"/>
    </w:rPr>
  </w:style>
  <w:style w:type="character" w:customStyle="1" w:styleId="13">
    <w:name w:val="未处理的提及1"/>
    <w:basedOn w:val="a0"/>
    <w:uiPriority w:val="99"/>
    <w:semiHidden/>
    <w:unhideWhenUsed/>
    <w:qFormat/>
    <w:rPr>
      <w:color w:val="605E5C"/>
      <w:shd w:val="clear" w:color="auto" w:fill="E1DFDD"/>
    </w:rPr>
  </w:style>
  <w:style w:type="character" w:customStyle="1" w:styleId="aa">
    <w:name w:val="页眉 字符"/>
    <w:basedOn w:val="a0"/>
    <w:link w:val="a9"/>
    <w:uiPriority w:val="99"/>
    <w:qFormat/>
    <w:rPr>
      <w:rFonts w:ascii="Times New Roman" w:eastAsia="仿宋_GB2312" w:hAnsi="Times New Roman"/>
      <w:sz w:val="18"/>
      <w:szCs w:val="18"/>
    </w:rPr>
  </w:style>
  <w:style w:type="character" w:customStyle="1" w:styleId="a8">
    <w:name w:val="页脚 字符"/>
    <w:basedOn w:val="a0"/>
    <w:link w:val="a7"/>
    <w:uiPriority w:val="99"/>
    <w:qFormat/>
    <w:rPr>
      <w:rFonts w:ascii="Times New Roman" w:eastAsia="仿宋_GB2312" w:hAnsi="Times New Roman"/>
      <w:sz w:val="18"/>
      <w:szCs w:val="18"/>
    </w:rPr>
  </w:style>
  <w:style w:type="paragraph" w:styleId="af8">
    <w:name w:val="Date"/>
    <w:basedOn w:val="a"/>
    <w:next w:val="a"/>
    <w:link w:val="af9"/>
    <w:uiPriority w:val="99"/>
    <w:semiHidden/>
    <w:unhideWhenUsed/>
    <w:rsid w:val="00703446"/>
    <w:pPr>
      <w:ind w:leftChars="2500" w:left="100"/>
    </w:pPr>
  </w:style>
  <w:style w:type="character" w:customStyle="1" w:styleId="af9">
    <w:name w:val="日期 字符"/>
    <w:basedOn w:val="a0"/>
    <w:link w:val="af8"/>
    <w:uiPriority w:val="99"/>
    <w:semiHidden/>
    <w:rsid w:val="00703446"/>
    <w:rPr>
      <w:rFonts w:eastAsia="仿宋_GB2312" w:cstheme="minorBidi"/>
      <w:kern w:val="2"/>
      <w:sz w:val="28"/>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7C443-FF3B-4A2F-BFFE-C5C977DDD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学思 段</dc:creator>
  <cp:lastModifiedBy>学思 段</cp:lastModifiedBy>
  <cp:revision>3</cp:revision>
  <cp:lastPrinted>2025-03-19T07:38:00Z</cp:lastPrinted>
  <dcterms:created xsi:type="dcterms:W3CDTF">2025-03-20T06:00:00Z</dcterms:created>
  <dcterms:modified xsi:type="dcterms:W3CDTF">2025-03-20T06:02:00Z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eyJoZGlkIjoiNzNlZmVlZDUzNzY3MTM3YmJmMTY0YWU5ZjAyNjg4NzQiLCJ1c2VySWQiOiI0OTUzNDY1MjEifQ==</vt:lpwstr>
  </property>
  <property fmtid="{D5CDD505-2E9C-101B-9397-08002B2CF9AE}" pid="3" name="KSOProductBuildVer">
    <vt:lpwstr>2052-12.1.0.20305</vt:lpwstr>
  </property>
  <property fmtid="{D5CDD505-2E9C-101B-9397-08002B2CF9AE}" pid="4" name="ICV">
    <vt:lpwstr>DD3BF7556D5D47BE89631376BF4D4A5D_12</vt:lpwstr>
  </property>
</Properties>
</file>